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spacing w:before="60" w:after="60"/>
        <w:outlineLvl w:val="0"/>
        <w:rPr>
          <w:rFonts w:eastAsia="宋体" w:cs="Arial"/>
          <w:sz w:val="24"/>
          <w:szCs w:val="24"/>
          <w:lang w:val="en-US" w:eastAsia="zh-CN"/>
        </w:rPr>
      </w:pPr>
      <w:r>
        <w:rPr>
          <w:rFonts w:eastAsia="宋体" w:cs="Arial"/>
          <w:sz w:val="24"/>
          <w:szCs w:val="24"/>
        </w:rPr>
        <w:t>3GPP TSG-RAN WG4 Meeting #116</w:t>
      </w:r>
      <w:r>
        <w:rPr>
          <w:rFonts w:hint="eastAsia" w:eastAsia="宋体" w:cs="Arial"/>
          <w:sz w:val="24"/>
          <w:szCs w:val="24"/>
        </w:rPr>
        <w:t xml:space="preserve">                                </w:t>
      </w:r>
      <w:r>
        <w:rPr>
          <w:rFonts w:eastAsia="宋体" w:cs="Arial"/>
          <w:sz w:val="24"/>
          <w:szCs w:val="24"/>
        </w:rPr>
        <w:t>R4-</w:t>
      </w:r>
      <w:r>
        <w:rPr>
          <w:rFonts w:hint="eastAsia" w:eastAsia="宋体" w:cs="Arial"/>
          <w:sz w:val="24"/>
          <w:szCs w:val="24"/>
          <w:lang w:val="en-US" w:eastAsia="zh-CN"/>
        </w:rPr>
        <w:t>2511018</w:t>
      </w:r>
      <w:bookmarkStart w:id="3" w:name="_GoBack"/>
      <w:bookmarkEnd w:id="3"/>
      <w:r>
        <w:rPr>
          <w:rFonts w:hint="eastAsia" w:eastAsia="宋体" w:cs="Arial"/>
          <w:sz w:val="24"/>
          <w:szCs w:val="24"/>
        </w:rPr>
        <w:t xml:space="preserve">                                                          </w:t>
      </w:r>
    </w:p>
    <w:p>
      <w:pPr>
        <w:pStyle w:val="16"/>
        <w:spacing w:before="60" w:after="60"/>
        <w:outlineLvl w:val="0"/>
        <w:rPr>
          <w:rFonts w:eastAsia="宋体" w:cs="Arial"/>
          <w:sz w:val="24"/>
          <w:szCs w:val="24"/>
        </w:rPr>
      </w:pPr>
      <w:r>
        <w:rPr>
          <w:rFonts w:eastAsia="宋体" w:cs="Arial"/>
          <w:sz w:val="24"/>
          <w:szCs w:val="24"/>
        </w:rPr>
        <w:t>Bangalore</w:t>
      </w:r>
      <w:r>
        <w:rPr>
          <w:rFonts w:hint="eastAsia" w:eastAsia="宋体" w:cs="Arial"/>
          <w:sz w:val="24"/>
          <w:szCs w:val="24"/>
        </w:rPr>
        <w:t>,</w:t>
      </w:r>
      <w:r>
        <w:rPr>
          <w:rFonts w:eastAsia="宋体" w:cs="Arial"/>
          <w:sz w:val="24"/>
          <w:szCs w:val="24"/>
        </w:rPr>
        <w:t xml:space="preserve"> India, 25</w:t>
      </w:r>
      <w:r>
        <w:rPr>
          <w:rFonts w:eastAsia="宋体" w:cs="Arial"/>
          <w:sz w:val="24"/>
          <w:szCs w:val="24"/>
          <w:vertAlign w:val="superscript"/>
        </w:rPr>
        <w:t>th</w:t>
      </w:r>
      <w:r>
        <w:rPr>
          <w:rFonts w:eastAsia="宋体" w:cs="Arial"/>
          <w:sz w:val="24"/>
          <w:szCs w:val="24"/>
        </w:rPr>
        <w:t xml:space="preserve"> – </w:t>
      </w:r>
      <w:r>
        <w:rPr>
          <w:rFonts w:hint="eastAsia" w:eastAsia="宋体" w:cs="Arial"/>
          <w:sz w:val="24"/>
          <w:szCs w:val="24"/>
        </w:rPr>
        <w:t>2</w:t>
      </w:r>
      <w:r>
        <w:rPr>
          <w:rFonts w:eastAsia="宋体" w:cs="Arial"/>
          <w:sz w:val="24"/>
          <w:szCs w:val="24"/>
        </w:rPr>
        <w:t>9</w:t>
      </w:r>
      <w:r>
        <w:rPr>
          <w:rFonts w:hint="eastAsia" w:eastAsia="宋体" w:cs="Arial"/>
          <w:sz w:val="24"/>
          <w:szCs w:val="24"/>
          <w:vertAlign w:val="superscript"/>
        </w:rPr>
        <w:t>th</w:t>
      </w:r>
      <w:r>
        <w:rPr>
          <w:rFonts w:eastAsia="宋体" w:cs="Arial"/>
          <w:sz w:val="24"/>
          <w:szCs w:val="24"/>
        </w:rPr>
        <w:t xml:space="preserve"> August, 202</w:t>
      </w:r>
      <w:r>
        <w:rPr>
          <w:rFonts w:hint="eastAsia" w:eastAsia="宋体" w:cs="Arial"/>
          <w:sz w:val="24"/>
          <w:szCs w:val="24"/>
        </w:rPr>
        <w:t>5</w:t>
      </w:r>
    </w:p>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hint="eastAsia" w:ascii="Arial" w:hAnsi="Arial" w:eastAsia="宋体" w:cs="Arial"/>
          <w:b/>
          <w:bCs/>
          <w:sz w:val="24"/>
          <w:lang w:val="en-US" w:eastAsia="zh-CN"/>
        </w:rPr>
        <w:t xml:space="preserve">  ZTE Corporation</w:t>
      </w:r>
      <w:r>
        <w:rPr>
          <w:rFonts w:ascii="Arial" w:hAnsi="Arial" w:eastAsia="宋体" w:cs="Arial"/>
          <w:b/>
          <w:bCs/>
          <w:sz w:val="24"/>
          <w:lang w:val="en-US" w:eastAsia="zh-CN"/>
        </w:rPr>
        <w:t>, Sanechips</w:t>
      </w:r>
    </w:p>
    <w:p>
      <w:pPr>
        <w:pStyle w:val="16"/>
        <w:tabs>
          <w:tab w:val="left" w:pos="1800"/>
          <w:tab w:val="clear" w:pos="4536"/>
        </w:tabs>
        <w:spacing w:after="60"/>
        <w:ind w:left="1800" w:hanging="1801" w:hangingChars="750"/>
        <w:rPr>
          <w:rFonts w:eastAsia="宋体"/>
          <w:sz w:val="24"/>
          <w:lang w:val="en-US" w:eastAsia="zh-CN"/>
        </w:rPr>
      </w:pPr>
      <w:r>
        <w:rPr>
          <w:sz w:val="24"/>
          <w:lang w:val="en-US"/>
        </w:rPr>
        <w:t>Title:</w:t>
      </w:r>
      <w:r>
        <w:rPr>
          <w:rFonts w:hint="eastAsia" w:eastAsia="宋体"/>
          <w:sz w:val="24"/>
          <w:lang w:val="en-US" w:eastAsia="zh-CN"/>
        </w:rPr>
        <w:t xml:space="preserve">  Discussion on the RRM requirements of AI/ML</w:t>
      </w:r>
      <w:r>
        <w:rPr>
          <w:rFonts w:eastAsia="宋体"/>
          <w:sz w:val="24"/>
          <w:lang w:val="en-US" w:eastAsia="zh-CN"/>
        </w:rPr>
        <w:t xml:space="preserve"> Beam management</w:t>
      </w:r>
    </w:p>
    <w:p>
      <w:pPr>
        <w:pStyle w:val="16"/>
        <w:tabs>
          <w:tab w:val="left" w:pos="1800"/>
          <w:tab w:val="left" w:pos="3825"/>
          <w:tab w:val="clear" w:pos="4536"/>
          <w:tab w:val="clear" w:pos="9072"/>
        </w:tabs>
        <w:spacing w:after="60"/>
        <w:jc w:val="both"/>
        <w:rPr>
          <w:rFonts w:hint="default" w:eastAsia="宋体"/>
          <w:sz w:val="24"/>
          <w:lang w:val="en-US" w:eastAsia="zh-CN"/>
        </w:rPr>
      </w:pPr>
      <w:r>
        <w:rPr>
          <w:sz w:val="24"/>
          <w:lang w:val="en-US"/>
        </w:rPr>
        <w:t>Agenda Item:</w:t>
      </w:r>
      <w:r>
        <w:rPr>
          <w:sz w:val="24"/>
          <w:lang w:val="en-US"/>
        </w:rPr>
        <w:tab/>
      </w:r>
      <w:r>
        <w:rPr>
          <w:rFonts w:hint="eastAsia" w:eastAsia="宋体"/>
          <w:sz w:val="24"/>
          <w:lang w:val="en-US" w:eastAsia="zh-CN"/>
        </w:rPr>
        <w:t>7.17.4</w:t>
      </w:r>
    </w:p>
    <w:p>
      <w:pPr>
        <w:pStyle w:val="16"/>
        <w:tabs>
          <w:tab w:val="left" w:pos="1800"/>
        </w:tabs>
        <w:snapToGrid w:val="0"/>
        <w:spacing w:after="240"/>
        <w:jc w:val="both"/>
        <w:rPr>
          <w:rFonts w:eastAsia="宋体"/>
          <w:sz w:val="24"/>
          <w:lang w:val="en-US" w:eastAsia="zh-CN"/>
        </w:rPr>
      </w:pPr>
      <w:r>
        <w:rPr>
          <w:sz w:val="24"/>
          <w:lang w:val="en-US"/>
        </w:rPr>
        <w:t>Document for:</w:t>
      </w:r>
      <w:r>
        <w:rPr>
          <w:sz w:val="24"/>
          <w:lang w:val="en-US"/>
        </w:rPr>
        <w:tab/>
      </w:r>
      <w:r>
        <w:rPr>
          <w:rFonts w:hint="eastAsia" w:eastAsia="宋体"/>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80" w:beforeLines="150" w:after="160" w:afterLines="50" w:line="300" w:lineRule="auto"/>
        <w:jc w:val="both"/>
        <w:textAlignment w:val="baseline"/>
        <w:rPr>
          <w:rFonts w:eastAsia="宋体"/>
          <w:lang w:eastAsia="zh-CN"/>
        </w:rPr>
      </w:pPr>
      <w:r>
        <w:rPr>
          <w:rFonts w:eastAsia="宋体"/>
          <w:lang w:eastAsia="zh-CN"/>
        </w:rPr>
        <w:t>Introduction</w:t>
      </w:r>
    </w:p>
    <w:p>
      <w:pPr>
        <w:pStyle w:val="12"/>
        <w:tabs>
          <w:tab w:val="left" w:pos="226"/>
          <w:tab w:val="left" w:pos="284"/>
          <w:tab w:val="left" w:pos="5103"/>
        </w:tabs>
        <w:snapToGrid w:val="0"/>
        <w:spacing w:before="160" w:beforeLines="50"/>
        <w:rPr>
          <w:rFonts w:eastAsia="宋体"/>
          <w:szCs w:val="20"/>
          <w:lang w:val="en-US" w:eastAsia="zh-CN"/>
        </w:rPr>
      </w:pPr>
      <w:r>
        <w:rPr>
          <w:rFonts w:eastAsia="宋体"/>
          <w:szCs w:val="20"/>
          <w:lang w:val="en-US" w:eastAsia="zh-CN"/>
        </w:rPr>
        <w:t xml:space="preserve">In </w:t>
      </w:r>
      <w:r>
        <w:rPr>
          <w:rFonts w:hint="eastAsia" w:eastAsia="宋体"/>
          <w:szCs w:val="20"/>
          <w:lang w:val="en-US" w:eastAsia="zh-CN"/>
        </w:rPr>
        <w:t xml:space="preserve">RAN plenary #94 meeting, a new SID[1] for Rel-18 was approved </w:t>
      </w:r>
      <w:r>
        <w:rPr>
          <w:rFonts w:hint="eastAsia"/>
          <w:szCs w:val="20"/>
          <w:lang w:val="en-US" w:eastAsia="zh-CN"/>
        </w:rPr>
        <w:t>to study the AI/ML for NR air interface. The objectives for RAN4 of this SID are listed as follows.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5"/>
              </w:numPr>
              <w:rPr>
                <w:bCs/>
              </w:rPr>
            </w:pPr>
            <w:r>
              <w:rPr>
                <w:bCs/>
              </w:rPr>
              <w:t>Interoperability and testability aspects, e.g., (RAN4) - RAN4 only starts the work after there is sufficient progress on use case study in RAN1 and RAN2</w:t>
            </w:r>
          </w:p>
          <w:p>
            <w:pPr>
              <w:numPr>
                <w:ilvl w:val="1"/>
                <w:numId w:val="5"/>
              </w:numPr>
              <w:rPr>
                <w:bCs/>
              </w:rPr>
            </w:pPr>
            <w:r>
              <w:rPr>
                <w:bCs/>
              </w:rPr>
              <w:t>Requirements and testing frameworks to validate AI/ML based performance enhancements and ensuring that UE and gNB with AI/ML meet or exceed the existing minimum requirements if applicable</w:t>
            </w:r>
          </w:p>
          <w:p>
            <w:pPr>
              <w:numPr>
                <w:ilvl w:val="1"/>
                <w:numId w:val="5"/>
              </w:numPr>
              <w:rPr>
                <w:bCs/>
              </w:rPr>
            </w:pPr>
            <w:r>
              <w:rPr>
                <w:bCs/>
              </w:rPr>
              <w:t>Consider the need and implications for AI/ML processing capabilities definition</w:t>
            </w:r>
          </w:p>
          <w:p>
            <w:pPr>
              <w:rPr>
                <w:bCs/>
              </w:rPr>
            </w:pPr>
          </w:p>
          <w:p>
            <w:pPr>
              <w:rPr>
                <w:bCs/>
              </w:rPr>
            </w:pPr>
            <w:r>
              <w:rPr>
                <w:bCs/>
              </w:rPr>
              <w:t>Note 1: specific AI/ML models are not expected to be specified and are left to implementation. User data privacy needs to be preserved.</w:t>
            </w:r>
          </w:p>
          <w:p>
            <w:pPr>
              <w:widowControl w:val="0"/>
              <w:jc w:val="both"/>
              <w:rPr>
                <w:rFonts w:eastAsiaTheme="minorEastAsia"/>
                <w:b/>
                <w:u w:val="single"/>
                <w:lang w:eastAsia="zh-CN"/>
              </w:rPr>
            </w:pPr>
            <w:r>
              <w:rPr>
                <w:bCs/>
              </w:rPr>
              <w:t>Note 2: The study on AI/ML for air interface is based on the current RAN architecture and new interfaces shall not be introduced.</w:t>
            </w:r>
          </w:p>
        </w:tc>
      </w:tr>
    </w:tbl>
    <w:p>
      <w:pPr>
        <w:pStyle w:val="12"/>
        <w:tabs>
          <w:tab w:val="left" w:pos="226"/>
          <w:tab w:val="left" w:pos="284"/>
          <w:tab w:val="left" w:pos="5103"/>
        </w:tabs>
        <w:snapToGrid w:val="0"/>
        <w:spacing w:before="160" w:beforeLines="50"/>
        <w:rPr>
          <w:rFonts w:eastAsia="宋体"/>
          <w:szCs w:val="20"/>
          <w:lang w:val="en-US" w:eastAsia="zh-CN"/>
        </w:rPr>
      </w:pPr>
      <w:r>
        <w:rPr>
          <w:rFonts w:hint="eastAsia" w:eastAsia="宋体"/>
          <w:szCs w:val="20"/>
          <w:lang w:val="en-US" w:eastAsia="zh-CN"/>
        </w:rPr>
        <w:t xml:space="preserve">In this document, we will provide some initial views on RRM requirements </w:t>
      </w:r>
      <w:r>
        <w:rPr>
          <w:rFonts w:eastAsia="宋体"/>
          <w:szCs w:val="20"/>
          <w:lang w:val="en-US" w:eastAsia="zh-CN"/>
        </w:rPr>
        <w:t>for beam management</w:t>
      </w:r>
      <w:r>
        <w:rPr>
          <w:rFonts w:hint="eastAsia" w:eastAsia="宋体"/>
          <w:szCs w:val="20"/>
          <w:lang w:val="en-US" w:eastAsia="zh-CN"/>
        </w:rPr>
        <w:t xml:space="preserve"> from the general requirements framework perspective. </w:t>
      </w:r>
    </w:p>
    <w:p>
      <w:pPr>
        <w:pStyle w:val="2"/>
        <w:widowControl w:val="0"/>
        <w:numPr>
          <w:ilvl w:val="0"/>
          <w:numId w:val="4"/>
        </w:numPr>
        <w:pBdr>
          <w:top w:val="single" w:color="auto" w:sz="12" w:space="1"/>
        </w:pBdr>
        <w:tabs>
          <w:tab w:val="left" w:pos="284"/>
        </w:tabs>
        <w:adjustRightInd w:val="0"/>
        <w:snapToGrid w:val="0"/>
        <w:spacing w:before="480" w:beforeLines="150" w:after="160" w:afterLines="50" w:line="300" w:lineRule="auto"/>
        <w:jc w:val="both"/>
        <w:textAlignment w:val="baseline"/>
        <w:rPr>
          <w:rFonts w:eastAsia="宋体"/>
          <w:lang w:eastAsia="zh-CN"/>
        </w:rPr>
      </w:pPr>
      <w:r>
        <w:rPr>
          <w:rFonts w:hint="eastAsia" w:eastAsia="宋体"/>
          <w:lang w:eastAsia="zh-CN"/>
        </w:rPr>
        <w:t>Discussion</w:t>
      </w:r>
    </w:p>
    <w:p>
      <w:pPr>
        <w:pStyle w:val="12"/>
        <w:spacing w:before="160" w:beforeLines="50"/>
        <w:rPr>
          <w:rFonts w:eastAsia="宋体"/>
          <w:szCs w:val="20"/>
          <w:lang w:val="en-US" w:eastAsia="zh-CN"/>
        </w:rPr>
      </w:pPr>
      <w:r>
        <w:rPr>
          <w:rFonts w:hint="eastAsia" w:eastAsia="宋体"/>
          <w:szCs w:val="20"/>
          <w:lang w:val="en-US" w:eastAsia="zh-CN"/>
        </w:rPr>
        <w:t>Based on the progresses in the previous meeting, there were several typical use cases incorporated in [2], which are listed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rPr>
                <w:rFonts w:eastAsia="Yu Mincho"/>
                <w:lang w:eastAsia="ja-JP"/>
              </w:rPr>
            </w:pPr>
            <w:r>
              <w:rPr>
                <w:rFonts w:hint="eastAsia" w:eastAsia="Yu Mincho"/>
                <w:highlight w:val="green"/>
                <w:lang w:eastAsia="ja-JP"/>
              </w:rPr>
              <w:t>Agreement</w:t>
            </w:r>
            <w:r>
              <w:rPr>
                <w:rFonts w:hint="eastAsia" w:eastAsia="Yu Mincho"/>
                <w:lang w:eastAsia="ja-JP"/>
              </w:rPr>
              <w:t>:</w:t>
            </w:r>
          </w:p>
          <w:p>
            <w:pPr>
              <w:numPr>
                <w:ilvl w:val="1"/>
                <w:numId w:val="6"/>
              </w:numPr>
              <w:rPr>
                <w:rFonts w:eastAsia="Yu Mincho"/>
                <w:lang w:eastAsia="ja-JP"/>
              </w:rPr>
            </w:pPr>
            <w:r>
              <w:rPr>
                <w:rFonts w:eastAsia="Yu Mincho"/>
                <w:lang w:eastAsia="ja-JP"/>
              </w:rPr>
              <w:t>Beam management</w:t>
            </w:r>
          </w:p>
          <w:p>
            <w:pPr>
              <w:numPr>
                <w:ilvl w:val="2"/>
                <w:numId w:val="6"/>
              </w:numPr>
              <w:rPr>
                <w:rFonts w:eastAsia="Yu Mincho"/>
                <w:lang w:eastAsia="ja-JP"/>
              </w:rPr>
            </w:pPr>
            <w:r>
              <w:rPr>
                <w:rFonts w:eastAsia="Yu Mincho"/>
                <w:lang w:eastAsia="ja-JP"/>
              </w:rPr>
              <w:t>Spatial-domain DL beam prediction</w:t>
            </w:r>
          </w:p>
          <w:p>
            <w:pPr>
              <w:numPr>
                <w:ilvl w:val="2"/>
                <w:numId w:val="6"/>
              </w:numPr>
              <w:rPr>
                <w:rFonts w:eastAsia="宋体"/>
                <w:szCs w:val="20"/>
                <w:lang w:eastAsia="zh-CN"/>
              </w:rPr>
            </w:pPr>
            <w:r>
              <w:rPr>
                <w:rFonts w:eastAsia="Yu Mincho"/>
                <w:lang w:eastAsia="ja-JP"/>
              </w:rPr>
              <w:t>Temporal DL beam prediction</w:t>
            </w:r>
          </w:p>
        </w:tc>
      </w:tr>
    </w:tbl>
    <w:p>
      <w:pPr>
        <w:spacing w:before="160" w:beforeLines="50"/>
        <w:jc w:val="both"/>
        <w:rPr>
          <w:rFonts w:eastAsia="宋体"/>
          <w:szCs w:val="20"/>
          <w:lang w:eastAsia="zh-CN"/>
        </w:rPr>
      </w:pPr>
      <w:r>
        <w:rPr>
          <w:rFonts w:eastAsia="宋体"/>
          <w:szCs w:val="20"/>
          <w:lang w:eastAsia="zh-CN"/>
        </w:rPr>
        <w:t>Beam management case 1 is the spatial-domain DL beam prediction for set A of beams based on measurement result of set B beams which the set B beams is the subset beam of set A, the best beams shall be estimated through AI/ML based BM methods with L1 measurements on a beam subset as the figure shown:</w:t>
      </w:r>
    </w:p>
    <w:p>
      <w:pPr>
        <w:jc w:val="center"/>
        <w:rPr>
          <w:rFonts w:eastAsia="宋体"/>
          <w:sz w:val="22"/>
          <w:szCs w:val="22"/>
          <w:lang w:eastAsia="zh-CN"/>
        </w:rPr>
      </w:pPr>
      <w:r>
        <w:rPr>
          <w:lang w:eastAsia="zh-CN"/>
        </w:rPr>
        <w:drawing>
          <wp:inline distT="0" distB="0" distL="0" distR="0">
            <wp:extent cx="4591050" cy="2210435"/>
            <wp:effectExtent l="0" t="0" r="0" b="0"/>
            <wp:docPr id="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
                    <pic:cNvPicPr>
                      <a:picLocks noChangeAspect="1"/>
                    </pic:cNvPicPr>
                  </pic:nvPicPr>
                  <pic:blipFill>
                    <a:blip r:embed="rId5">
                      <a:extLst>
                        <a:ext uri="{28A0092B-C50C-407E-A947-70E740481C1C}">
                          <a14:useLocalDpi xmlns:a14="http://schemas.microsoft.com/office/drawing/2010/main" val="0"/>
                        </a:ext>
                      </a:extLst>
                    </a:blip>
                    <a:srcRect/>
                    <a:stretch>
                      <a:fillRect/>
                    </a:stretch>
                  </pic:blipFill>
                  <pic:spPr>
                    <a:xfrm>
                      <a:off x="0" y="0"/>
                      <a:ext cx="4599979" cy="2214896"/>
                    </a:xfrm>
                    <a:prstGeom prst="rect">
                      <a:avLst/>
                    </a:prstGeom>
                  </pic:spPr>
                </pic:pic>
              </a:graphicData>
            </a:graphic>
          </wp:inline>
        </w:drawing>
      </w:r>
    </w:p>
    <w:p>
      <w:pPr>
        <w:spacing w:before="160" w:beforeLines="50" w:after="160" w:afterLines="50"/>
        <w:jc w:val="center"/>
        <w:rPr>
          <w:rFonts w:eastAsia="宋体"/>
          <w:szCs w:val="20"/>
          <w:lang w:eastAsia="zh-CN"/>
        </w:rPr>
      </w:pPr>
      <w:r>
        <w:rPr>
          <w:rFonts w:eastAsia="宋体"/>
          <w:szCs w:val="20"/>
          <w:lang w:eastAsia="zh-CN"/>
        </w:rPr>
        <w:t>Figure 1 AI beam prediction (Spatial domain)</w:t>
      </w:r>
    </w:p>
    <w:p>
      <w:pPr>
        <w:spacing w:before="160" w:beforeLines="50" w:after="160" w:afterLines="50"/>
        <w:jc w:val="both"/>
        <w:rPr>
          <w:rFonts w:eastAsia="宋体"/>
          <w:szCs w:val="20"/>
          <w:lang w:eastAsia="zh-CN"/>
        </w:rPr>
      </w:pPr>
      <w:r>
        <w:rPr>
          <w:rFonts w:eastAsia="宋体"/>
          <w:szCs w:val="20"/>
          <w:lang w:eastAsia="zh-CN"/>
        </w:rPr>
        <w:t>Another sub use case is beam management case 2 which is the time-domain DL beam prediction for set A of beams based on the historic measurement results of set B of beams. The best beam in the future can be predicted through AI/ML based BM methods based on the beam quality at the current and historical time as the figure shown:</w:t>
      </w:r>
    </w:p>
    <w:p>
      <w:pPr>
        <w:jc w:val="center"/>
        <w:rPr>
          <w:rFonts w:eastAsia="宋体"/>
          <w:sz w:val="22"/>
          <w:szCs w:val="22"/>
          <w:lang w:eastAsia="zh-CN"/>
        </w:rPr>
      </w:pPr>
      <w:r>
        <w:rPr>
          <w:lang w:eastAsia="zh-CN"/>
        </w:rPr>
        <w:drawing>
          <wp:inline distT="0" distB="0" distL="0" distR="0">
            <wp:extent cx="5997575" cy="1219200"/>
            <wp:effectExtent l="0" t="0" r="3175" b="0"/>
            <wp:docPr id="5"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
                    <pic:cNvPicPr>
                      <a:picLocks noChangeAspect="1"/>
                    </pic:cNvPicPr>
                  </pic:nvPicPr>
                  <pic:blipFill>
                    <a:blip r:embed="rId6">
                      <a:extLst>
                        <a:ext uri="{28A0092B-C50C-407E-A947-70E740481C1C}">
                          <a14:useLocalDpi xmlns:a14="http://schemas.microsoft.com/office/drawing/2010/main" val="0"/>
                        </a:ext>
                      </a:extLst>
                    </a:blip>
                    <a:srcRect/>
                    <a:stretch>
                      <a:fillRect/>
                    </a:stretch>
                  </pic:blipFill>
                  <pic:spPr>
                    <a:xfrm>
                      <a:off x="0" y="0"/>
                      <a:ext cx="5997948" cy="1219200"/>
                    </a:xfrm>
                    <a:prstGeom prst="rect">
                      <a:avLst/>
                    </a:prstGeom>
                  </pic:spPr>
                </pic:pic>
              </a:graphicData>
            </a:graphic>
          </wp:inline>
        </w:drawing>
      </w:r>
    </w:p>
    <w:p>
      <w:pPr>
        <w:spacing w:before="160" w:beforeLines="50" w:after="160" w:afterLines="50"/>
        <w:jc w:val="center"/>
        <w:rPr>
          <w:rFonts w:eastAsia="宋体"/>
          <w:szCs w:val="20"/>
          <w:lang w:eastAsia="zh-CN"/>
        </w:rPr>
      </w:pPr>
      <w:r>
        <w:rPr>
          <w:rFonts w:eastAsia="宋体"/>
          <w:szCs w:val="20"/>
          <w:lang w:eastAsia="zh-CN"/>
        </w:rPr>
        <w:t>Figure 2 AI beam prediction (Time domain)</w:t>
      </w:r>
    </w:p>
    <w:p>
      <w:pPr>
        <w:spacing w:before="160" w:beforeLines="50" w:after="160" w:afterLines="50"/>
        <w:jc w:val="both"/>
        <w:rPr>
          <w:rFonts w:hint="default" w:eastAsia="宋体"/>
          <w:szCs w:val="20"/>
          <w:lang w:val="en-US" w:eastAsia="zh-CN"/>
        </w:rPr>
      </w:pPr>
      <w:r>
        <w:rPr>
          <w:rFonts w:hint="eastAsia" w:eastAsia="宋体"/>
          <w:szCs w:val="20"/>
          <w:lang w:val="en-US" w:eastAsia="zh-CN"/>
        </w:rPr>
        <w:t>In this paper, we mainly provide the analysis on the RRM requirements for performance metrics, prediction delay and TCI state activation based on RAN1 and RAN2</w:t>
      </w:r>
      <w:r>
        <w:rPr>
          <w:rFonts w:hint="default" w:eastAsia="宋体"/>
          <w:szCs w:val="20"/>
          <w:lang w:val="en-US" w:eastAsia="zh-CN"/>
        </w:rPr>
        <w:t>’</w:t>
      </w:r>
      <w:r>
        <w:rPr>
          <w:rFonts w:hint="eastAsia" w:eastAsia="宋体"/>
          <w:szCs w:val="20"/>
          <w:lang w:val="en-US" w:eastAsia="zh-CN"/>
        </w:rPr>
        <w:t>s progress and agreements for BM case1 and case 2.</w:t>
      </w:r>
    </w:p>
    <w:p>
      <w:pPr>
        <w:pStyle w:val="3"/>
        <w:rPr>
          <w:rFonts w:hint="eastAsia"/>
          <w:sz w:val="24"/>
          <w:szCs w:val="24"/>
          <w:lang w:val="en-US" w:eastAsia="zh-CN"/>
        </w:rPr>
      </w:pPr>
      <w:r>
        <w:rPr>
          <w:rFonts w:hint="eastAsia"/>
          <w:sz w:val="24"/>
          <w:szCs w:val="24"/>
          <w:lang w:val="en-US" w:eastAsia="zh-CN"/>
        </w:rPr>
        <w:t>2</w:t>
      </w:r>
      <w:r>
        <w:rPr>
          <w:sz w:val="24"/>
          <w:szCs w:val="24"/>
          <w:lang w:val="en-US" w:eastAsia="zh-CN"/>
        </w:rPr>
        <w:t xml:space="preserve">.1 </w:t>
      </w:r>
      <w:r>
        <w:rPr>
          <w:rFonts w:hint="eastAsia"/>
          <w:sz w:val="24"/>
          <w:szCs w:val="24"/>
          <w:lang w:val="en-US" w:eastAsia="zh-CN"/>
        </w:rPr>
        <w:t>Performance metrics</w:t>
      </w:r>
    </w:p>
    <w:p>
      <w:pPr>
        <w:spacing w:before="161" w:beforeLines="50" w:after="161" w:afterLines="50"/>
        <w:rPr>
          <w:rFonts w:hint="eastAsia"/>
          <w:lang w:val="en-US" w:eastAsia="zh-CN"/>
        </w:rPr>
      </w:pPr>
      <w:r>
        <w:rPr>
          <w:rFonts w:hint="eastAsia"/>
          <w:lang w:val="en-US" w:eastAsia="zh-CN"/>
        </w:rPr>
        <w:t>Different metrics/KPIs have been discussed and were captured in [2], RAN4 has discussed the related performance metrics for several meetings, the following test metrics are identified and could be considered:</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rFonts w:eastAsia="Yu Mincho"/>
                <w:iCs/>
                <w:color w:val="0070C0"/>
                <w:lang w:eastAsia="ja-JP"/>
              </w:rPr>
            </w:pPr>
            <w:r>
              <w:rPr>
                <w:rFonts w:eastAsia="Yu Mincho"/>
                <w:iCs/>
                <w:color w:val="0070C0"/>
                <w:lang w:eastAsia="ja-JP"/>
              </w:rPr>
              <w:t>-</w:t>
            </w:r>
            <w:r>
              <w:rPr>
                <w:rFonts w:eastAsia="Yu Mincho"/>
                <w:iCs/>
                <w:color w:val="0070C0"/>
                <w:lang w:eastAsia="ja-JP"/>
              </w:rPr>
              <w:tab/>
            </w:r>
            <w:r>
              <w:rPr>
                <w:rFonts w:eastAsia="Yu Mincho"/>
                <w:iCs/>
                <w:color w:val="0070C0"/>
                <w:lang w:eastAsia="ja-JP"/>
              </w:rPr>
              <w:t>Option 1: RSRP accuracy</w:t>
            </w:r>
          </w:p>
          <w:p>
            <w:pPr>
              <w:rPr>
                <w:rFonts w:eastAsia="Yu Mincho"/>
                <w:iCs/>
                <w:color w:val="0070C0"/>
                <w:lang w:eastAsia="ja-JP"/>
              </w:rPr>
            </w:pPr>
            <w:r>
              <w:rPr>
                <w:rFonts w:eastAsia="Yu Mincho"/>
                <w:iCs/>
                <w:color w:val="0070C0"/>
                <w:lang w:eastAsia="ja-JP"/>
              </w:rPr>
              <w:t>-</w:t>
            </w:r>
            <w:r>
              <w:rPr>
                <w:rFonts w:eastAsia="Yu Mincho"/>
                <w:iCs/>
                <w:color w:val="0070C0"/>
                <w:lang w:eastAsia="ja-JP"/>
              </w:rPr>
              <w:tab/>
            </w:r>
            <w:r>
              <w:rPr>
                <w:rFonts w:eastAsia="Yu Mincho"/>
                <w:iCs/>
                <w:color w:val="0070C0"/>
                <w:lang w:eastAsia="ja-JP"/>
              </w:rPr>
              <w:t>Option 2: Beam prediction accuracy</w:t>
            </w:r>
          </w:p>
          <w:p>
            <w:pPr>
              <w:ind w:left="0" w:firstLine="0"/>
              <w:rPr>
                <w:rFonts w:eastAsia="Yu Mincho"/>
                <w:iCs/>
                <w:color w:val="0070C0"/>
                <w:lang w:eastAsia="ja-JP"/>
              </w:rPr>
            </w:pPr>
            <w:r>
              <w:rPr>
                <w:rFonts w:eastAsia="Yu Mincho"/>
                <w:iCs/>
                <w:color w:val="0070C0"/>
                <w:lang w:eastAsia="ja-JP"/>
              </w:rPr>
              <w:t>-Top-1 (%) : the percentage of "the Top-1 strongest beam is Top-1 predicted beam"</w:t>
            </w:r>
          </w:p>
          <w:p>
            <w:pPr>
              <w:ind w:left="0" w:firstLine="0"/>
              <w:rPr>
                <w:rFonts w:eastAsia="Yu Mincho"/>
                <w:iCs/>
                <w:color w:val="0070C0"/>
                <w:lang w:eastAsia="ja-JP"/>
              </w:rPr>
            </w:pPr>
            <w:r>
              <w:rPr>
                <w:rFonts w:eastAsia="Yu Mincho"/>
                <w:iCs/>
                <w:color w:val="0070C0"/>
                <w:lang w:eastAsia="ja-JP"/>
              </w:rPr>
              <w:t>-Top-K/1 (%) : the percentage of "the Top-1 strongest beam is one of the Top-K predicted beams"</w:t>
            </w:r>
          </w:p>
          <w:p>
            <w:pPr>
              <w:ind w:left="0" w:firstLine="0"/>
              <w:rPr>
                <w:rFonts w:eastAsia="Yu Mincho"/>
                <w:iCs/>
                <w:color w:val="0070C0"/>
                <w:lang w:eastAsia="ja-JP"/>
              </w:rPr>
            </w:pPr>
            <w:r>
              <w:rPr>
                <w:rFonts w:eastAsia="Yu Mincho"/>
                <w:iCs/>
                <w:color w:val="0070C0"/>
                <w:lang w:eastAsia="ja-JP"/>
              </w:rPr>
              <w:t>-Top-1/K (%) : the percentage of "the Top-1 predicted beam is one of the Top-K strongest beams"</w:t>
            </w:r>
          </w:p>
          <w:p>
            <w:pPr>
              <w:rPr>
                <w:rFonts w:eastAsia="Yu Mincho"/>
                <w:iCs/>
                <w:color w:val="0070C0"/>
                <w:lang w:eastAsia="ja-JP"/>
              </w:rPr>
            </w:pPr>
            <w:r>
              <w:rPr>
                <w:rFonts w:eastAsia="Yu Mincho"/>
                <w:iCs/>
                <w:color w:val="0070C0"/>
                <w:lang w:eastAsia="ja-JP"/>
              </w:rPr>
              <w:t>-</w:t>
            </w:r>
            <w:r>
              <w:rPr>
                <w:rFonts w:eastAsia="Yu Mincho"/>
                <w:iCs/>
                <w:color w:val="0070C0"/>
                <w:lang w:eastAsia="ja-JP"/>
              </w:rPr>
              <w:tab/>
            </w:r>
            <w:r>
              <w:rPr>
                <w:rFonts w:eastAsia="Yu Mincho"/>
                <w:iCs/>
                <w:color w:val="0070C0"/>
                <w:lang w:eastAsia="ja-JP"/>
              </w:rPr>
              <w:t xml:space="preserve">Option 3: The successful rate for the correct prediction which is considered as maximum RSRP among top-K predicted beams is larger than the RSRP of the strongest beam – x dB, </w:t>
            </w:r>
          </w:p>
          <w:p>
            <w:pPr>
              <w:ind w:left="0" w:firstLine="0"/>
              <w:rPr>
                <w:rFonts w:eastAsia="Yu Mincho"/>
                <w:iCs/>
                <w:color w:val="0070C0"/>
                <w:lang w:eastAsia="ja-JP"/>
              </w:rPr>
            </w:pPr>
            <w:r>
              <w:rPr>
                <w:rFonts w:eastAsia="Yu Mincho"/>
                <w:iCs/>
                <w:color w:val="0070C0"/>
                <w:lang w:eastAsia="ja-JP"/>
              </w:rPr>
              <w:t>-Related measurement accuracy can be considered to determine x</w:t>
            </w:r>
          </w:p>
          <w:p>
            <w:pPr>
              <w:rPr>
                <w:rFonts w:hint="default"/>
                <w:vertAlign w:val="baseline"/>
                <w:lang w:val="en-US" w:eastAsia="zh-CN"/>
              </w:rPr>
            </w:pPr>
            <w:r>
              <w:rPr>
                <w:rFonts w:eastAsia="Yu Mincho"/>
                <w:iCs/>
                <w:color w:val="0070C0"/>
                <w:lang w:eastAsia="ja-JP"/>
              </w:rPr>
              <w:t>-</w:t>
            </w:r>
            <w:r>
              <w:rPr>
                <w:rFonts w:eastAsia="Yu Mincho"/>
                <w:iCs/>
                <w:color w:val="0070C0"/>
                <w:lang w:eastAsia="ja-JP"/>
              </w:rPr>
              <w:tab/>
            </w:r>
            <w:r>
              <w:rPr>
                <w:rFonts w:eastAsia="Yu Mincho"/>
                <w:iCs/>
                <w:color w:val="0070C0"/>
                <w:lang w:eastAsia="ja-JP"/>
              </w:rPr>
              <w:t>Option 4: combinations of above options</w:t>
            </w:r>
          </w:p>
        </w:tc>
      </w:tr>
    </w:tbl>
    <w:p>
      <w:pPr>
        <w:spacing w:before="161" w:beforeLines="50" w:after="161" w:afterLines="50"/>
        <w:jc w:val="both"/>
        <w:rPr>
          <w:rFonts w:hint="default"/>
          <w:lang w:val="en-US" w:eastAsia="zh-CN"/>
        </w:rPr>
      </w:pPr>
      <w:r>
        <w:rPr>
          <w:rFonts w:hint="eastAsia"/>
          <w:lang w:val="en-US" w:eastAsia="zh-CN"/>
        </w:rPr>
        <w:t>We find that performance metrics mainly include two parts, which are RSRP accuracy and beam prediction accuracy. In this section, we shall analyze these two different KPIs respectively.</w:t>
      </w:r>
    </w:p>
    <w:p>
      <w:pPr>
        <w:pStyle w:val="4"/>
        <w:spacing w:before="120" w:after="120" w:line="240" w:lineRule="auto"/>
        <w:rPr>
          <w:rFonts w:hint="default"/>
          <w:sz w:val="20"/>
          <w:szCs w:val="20"/>
          <w:lang w:val="en-US" w:eastAsia="zh-CN"/>
        </w:rPr>
      </w:pPr>
      <w:r>
        <w:rPr>
          <w:rFonts w:hint="eastAsia"/>
          <w:sz w:val="20"/>
          <w:szCs w:val="20"/>
          <w:lang w:val="en-US" w:eastAsia="zh-CN"/>
        </w:rPr>
        <w:t>2.1.1 Absolute RSRP accuracy</w:t>
      </w:r>
    </w:p>
    <w:p>
      <w:pPr>
        <w:rPr>
          <w:rFonts w:hint="eastAsia"/>
          <w:lang w:val="en-US" w:eastAsia="zh-CN"/>
        </w:rPr>
      </w:pPr>
      <w:r>
        <w:rPr>
          <w:rFonts w:hint="eastAsia"/>
          <w:lang w:val="en-US" w:eastAsia="zh-CN"/>
        </w:rPr>
        <w:t xml:space="preserve">RAN4 has discussed several meetings on how to define the RSRP accuracy, including the absolute RSRP accuracy and the relative RSRP accuracy. </w:t>
      </w:r>
    </w:p>
    <w:p>
      <w:pPr>
        <w:rPr>
          <w:rFonts w:hint="eastAsia"/>
          <w:lang w:val="en-US" w:eastAsia="zh-CN"/>
        </w:rPr>
      </w:pPr>
      <w:r>
        <w:rPr>
          <w:rFonts w:hint="eastAsia"/>
          <w:lang w:val="en-US" w:eastAsia="zh-CN"/>
        </w:rPr>
        <w:t>In previous meeting, the absolute RSRP accuracy has already been defined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1"/>
              <w:numPr>
                <w:ilvl w:val="-1"/>
                <w:numId w:val="0"/>
              </w:numPr>
              <w:overflowPunct w:val="0"/>
              <w:autoSpaceDE w:val="0"/>
              <w:autoSpaceDN w:val="0"/>
              <w:adjustRightInd w:val="0"/>
              <w:spacing w:after="120"/>
              <w:ind w:left="0" w:leftChars="0" w:firstLine="0" w:firstLineChars="0"/>
              <w:textAlignment w:val="baseline"/>
              <w:rPr>
                <w:rFonts w:hint="eastAsia" w:ascii="Times New Roman" w:hAnsi="Times New Roman" w:eastAsia="Times New Roman"/>
                <w:kern w:val="0"/>
                <w:sz w:val="20"/>
                <w:szCs w:val="24"/>
                <w:lang w:eastAsia="zh-CN"/>
              </w:rPr>
            </w:pPr>
            <w:bookmarkStart w:id="0" w:name="_Hlk179968300"/>
            <w:r>
              <w:rPr>
                <w:rFonts w:hint="eastAsia" w:ascii="Times New Roman" w:hAnsi="Times New Roman" w:eastAsia="Times New Roman"/>
                <w:kern w:val="0"/>
                <w:sz w:val="20"/>
                <w:szCs w:val="24"/>
                <w:lang w:eastAsia="zh-CN"/>
              </w:rPr>
              <w:t>Agreement:</w:t>
            </w:r>
          </w:p>
          <w:p>
            <w:pPr>
              <w:pStyle w:val="31"/>
              <w:numPr>
                <w:ilvl w:val="0"/>
                <w:numId w:val="7"/>
              </w:numPr>
              <w:overflowPunct w:val="0"/>
              <w:autoSpaceDE w:val="0"/>
              <w:autoSpaceDN w:val="0"/>
              <w:adjustRightInd w:val="0"/>
              <w:spacing w:after="120"/>
              <w:textAlignment w:val="baseline"/>
              <w:rPr>
                <w:rFonts w:hint="eastAsia"/>
                <w:vertAlign w:val="baseline"/>
                <w:lang w:val="en-US" w:eastAsia="zh-CN"/>
              </w:rPr>
            </w:pPr>
            <w:r>
              <w:rPr>
                <w:rFonts w:hint="eastAsia" w:ascii="Times New Roman" w:hAnsi="Times New Roman" w:eastAsia="Times New Roman"/>
                <w:kern w:val="0"/>
                <w:sz w:val="20"/>
                <w:szCs w:val="24"/>
                <w:lang w:eastAsia="zh-CN"/>
              </w:rPr>
              <w:t>If the absolute RSRP is agreed to be metric for the beam management prediction, the absolute RSRP accuracy for AI/ML based beam prediction = predicted L1-RSRP of beam index i – groundtruth of L1-RSRP of beam index i. The index i may be any beam index [in top-K beams based on groundtruth L1-RSRP].</w:t>
            </w:r>
            <w:bookmarkEnd w:id="0"/>
          </w:p>
        </w:tc>
      </w:tr>
    </w:tbl>
    <w:p>
      <w:pPr>
        <w:jc w:val="both"/>
        <w:rPr>
          <w:rFonts w:hint="eastAsia"/>
          <w:lang w:val="en-US" w:eastAsia="zh-CN"/>
        </w:rPr>
      </w:pPr>
      <w:r>
        <w:rPr>
          <w:rFonts w:hint="eastAsia"/>
          <w:lang w:val="en-US" w:eastAsia="zh-CN"/>
        </w:rPr>
        <w:t>Based on the above agreement, we shall distinguish what is the benchmark of top-K beams. Since the formula only tells us the index i may be any beam index and not sure the index of top-K beams shall be predicted beams or groundtruth beams. There are two choices which are the top-K beams based on groundtruth L1-RSRP and the top-K beams based on predicted L1-RSRP. In my opinion, the top-K beams shall be the predicted beams instead of the groundtruth beams. Since the purpose of the absolute RSRP accuracy is to verify the performance of AI model based on the predicted beams or UE reported several optimal predicted beams. Thus, RAN4 shall check the reported predicted beams with groundtruth beams whether the reported top-K beams are predicted better or worse. For instance, the top-4 reported beam indices are beam 1, beam 2, beam 3 and beam 4, the L1-RSRP sequence of groundtruth beams indices are beam 1, beam 4, beam 5, beam 6, beam 3, beam 2 and others. If the index equals 1, the absolute RSRP accuracy may be small, however, if the index equals 2, the absolute RSRP accuracy may be large. Then, it means that the performance of AI model is not good enough. On the contrary, for the top-K beams are groundtruth beams but not the predicted beams, may be some UE reported beams could not be verified or why should we require the RSRP accuracy of the beam that the UE doesn</w:t>
      </w:r>
      <w:r>
        <w:rPr>
          <w:rFonts w:hint="default"/>
          <w:lang w:val="en-US" w:eastAsia="zh-CN"/>
        </w:rPr>
        <w:t>’</w:t>
      </w:r>
      <w:r>
        <w:rPr>
          <w:rFonts w:hint="eastAsia"/>
          <w:lang w:val="en-US" w:eastAsia="zh-CN"/>
        </w:rPr>
        <w:t>t even report.</w:t>
      </w:r>
    </w:p>
    <w:p>
      <w:pPr>
        <w:jc w:val="both"/>
        <w:rPr>
          <w:rFonts w:hint="eastAsia"/>
          <w:lang w:val="en-US" w:eastAsia="zh-CN"/>
        </w:rPr>
      </w:pPr>
      <w:r>
        <w:rPr>
          <w:rFonts w:hint="eastAsia"/>
          <w:lang w:val="en-US" w:eastAsia="zh-CN"/>
        </w:rPr>
        <w:t>On the other hand, if the index equals 1, the absolute RSRP accuracy may be small, however, if the index equals 2, the absolute RSRP accuracy may be large. Then, it means that the performance of AI model is not good enough. What is the standard to verify the performance of AI system based on the absolute RSRP accuracy shall be considered or how to quantify the the small or large L1-RSRP difference shall be studied. From my perspective, a margin could be considered, that is, if the L1-RSRP difference of same beam exceeds the margin, the difference is large. Otherwise, the difference is small. However, the absolute RSRP accuracy in legacy can be seen as below:</w:t>
      </w:r>
    </w:p>
    <w:p>
      <w:pPr>
        <w:pStyle w:val="39"/>
      </w:pPr>
      <w:r>
        <w:t xml:space="preserve">Table </w:t>
      </w:r>
      <w:r>
        <w:rPr>
          <w:rFonts w:hint="eastAsia"/>
          <w:lang w:val="en-US" w:eastAsia="zh-CN"/>
        </w:rPr>
        <w:t>1</w:t>
      </w:r>
      <w:r>
        <w:t>: SSB based L1-RSRP absolute accuracy in FR2</w:t>
      </w:r>
    </w:p>
    <w:tbl>
      <w:tblPr>
        <w:tblStyle w:val="18"/>
        <w:tblW w:w="8720" w:type="dxa"/>
        <w:jc w:val="center"/>
        <w:tblLayout w:type="autofit"/>
        <w:tblCellMar>
          <w:top w:w="0" w:type="dxa"/>
          <w:left w:w="108" w:type="dxa"/>
          <w:bottom w:w="0" w:type="dxa"/>
          <w:right w:w="108" w:type="dxa"/>
        </w:tblCellMar>
      </w:tblPr>
      <w:tblGrid>
        <w:gridCol w:w="1111"/>
        <w:gridCol w:w="1110"/>
        <w:gridCol w:w="1110"/>
        <w:gridCol w:w="1116"/>
        <w:gridCol w:w="1116"/>
        <w:gridCol w:w="1578"/>
        <w:gridCol w:w="1579"/>
      </w:tblGrid>
      <w:tr>
        <w:tblPrEx>
          <w:tblCellMar>
            <w:top w:w="0" w:type="dxa"/>
            <w:left w:w="108" w:type="dxa"/>
            <w:bottom w:w="0" w:type="dxa"/>
            <w:right w:w="108" w:type="dxa"/>
          </w:tblCellMar>
        </w:tblPrEx>
        <w:trPr>
          <w:jc w:val="center"/>
        </w:trPr>
        <w:tc>
          <w:tcPr>
            <w:tcW w:w="2221" w:type="dxa"/>
            <w:gridSpan w:val="2"/>
            <w:tcBorders>
              <w:top w:val="single" w:color="auto" w:sz="6" w:space="0"/>
              <w:left w:val="single" w:color="auto" w:sz="4" w:space="0"/>
              <w:bottom w:val="nil"/>
              <w:right w:val="single" w:color="auto" w:sz="6" w:space="0"/>
            </w:tcBorders>
            <w:vAlign w:val="center"/>
          </w:tcPr>
          <w:p>
            <w:pPr>
              <w:pStyle w:val="36"/>
            </w:pPr>
            <w:r>
              <w:t>Accuracy</w:t>
            </w:r>
          </w:p>
        </w:tc>
        <w:tc>
          <w:tcPr>
            <w:tcW w:w="6499" w:type="dxa"/>
            <w:gridSpan w:val="5"/>
            <w:tcBorders>
              <w:top w:val="single" w:color="auto" w:sz="4" w:space="0"/>
              <w:left w:val="single" w:color="auto" w:sz="4" w:space="0"/>
              <w:bottom w:val="nil"/>
              <w:right w:val="single" w:color="auto" w:sz="4" w:space="0"/>
            </w:tcBorders>
            <w:vAlign w:val="center"/>
          </w:tcPr>
          <w:p>
            <w:pPr>
              <w:pStyle w:val="36"/>
            </w:pPr>
            <w:r>
              <w:t>Conditions</w:t>
            </w:r>
          </w:p>
        </w:tc>
      </w:tr>
      <w:tr>
        <w:tblPrEx>
          <w:tblCellMar>
            <w:top w:w="0" w:type="dxa"/>
            <w:left w:w="108" w:type="dxa"/>
            <w:bottom w:w="0" w:type="dxa"/>
            <w:right w:w="108" w:type="dxa"/>
          </w:tblCellMar>
        </w:tblPrEx>
        <w:trPr>
          <w:jc w:val="center"/>
        </w:trPr>
        <w:tc>
          <w:tcPr>
            <w:tcW w:w="1111" w:type="dxa"/>
            <w:tcBorders>
              <w:top w:val="single" w:color="auto" w:sz="6" w:space="0"/>
              <w:left w:val="single" w:color="auto" w:sz="4" w:space="0"/>
              <w:right w:val="single" w:color="auto" w:sz="6" w:space="0"/>
            </w:tcBorders>
            <w:vAlign w:val="center"/>
          </w:tcPr>
          <w:p>
            <w:pPr>
              <w:pStyle w:val="36"/>
            </w:pPr>
            <w:r>
              <w:t>Normal condition</w:t>
            </w:r>
          </w:p>
        </w:tc>
        <w:tc>
          <w:tcPr>
            <w:tcW w:w="1110" w:type="dxa"/>
            <w:tcBorders>
              <w:top w:val="single" w:color="auto" w:sz="6" w:space="0"/>
              <w:left w:val="single" w:color="auto" w:sz="6" w:space="0"/>
              <w:right w:val="single" w:color="auto" w:sz="6" w:space="0"/>
            </w:tcBorders>
            <w:vAlign w:val="center"/>
          </w:tcPr>
          <w:p>
            <w:pPr>
              <w:pStyle w:val="36"/>
            </w:pPr>
            <w:r>
              <w:t>Extreme condition</w:t>
            </w:r>
          </w:p>
        </w:tc>
        <w:tc>
          <w:tcPr>
            <w:tcW w:w="1110" w:type="dxa"/>
            <w:tcBorders>
              <w:top w:val="single" w:color="auto" w:sz="4" w:space="0"/>
              <w:left w:val="single" w:color="auto" w:sz="4" w:space="0"/>
              <w:right w:val="single" w:color="auto" w:sz="4" w:space="0"/>
            </w:tcBorders>
          </w:tcPr>
          <w:p>
            <w:pPr>
              <w:pStyle w:val="36"/>
            </w:pPr>
            <w:r>
              <w:rPr>
                <w:rFonts w:cs="Arial"/>
              </w:rPr>
              <w:t>SSB Ês/Iot</w:t>
            </w:r>
          </w:p>
        </w:tc>
        <w:tc>
          <w:tcPr>
            <w:tcW w:w="5389" w:type="dxa"/>
            <w:gridSpan w:val="4"/>
            <w:tcBorders>
              <w:top w:val="single" w:color="auto" w:sz="4" w:space="0"/>
              <w:left w:val="single" w:color="auto" w:sz="4" w:space="0"/>
              <w:bottom w:val="single" w:color="auto" w:sz="6" w:space="0"/>
              <w:right w:val="single" w:color="auto" w:sz="4" w:space="0"/>
            </w:tcBorders>
            <w:vAlign w:val="center"/>
          </w:tcPr>
          <w:p>
            <w:pPr>
              <w:pStyle w:val="36"/>
            </w:pPr>
            <w:r>
              <w:t>Io</w:t>
            </w:r>
            <w:r>
              <w:rPr>
                <w:vertAlign w:val="superscript"/>
              </w:rPr>
              <w:t xml:space="preserve"> Note 1</w:t>
            </w:r>
            <w:r>
              <w:t xml:space="preserve"> range</w:t>
            </w:r>
          </w:p>
        </w:tc>
      </w:tr>
      <w:tr>
        <w:tblPrEx>
          <w:tblCellMar>
            <w:top w:w="0" w:type="dxa"/>
            <w:left w:w="108" w:type="dxa"/>
            <w:bottom w:w="0" w:type="dxa"/>
            <w:right w:w="108" w:type="dxa"/>
          </w:tblCellMar>
        </w:tblPrEx>
        <w:trPr>
          <w:jc w:val="center"/>
        </w:trPr>
        <w:tc>
          <w:tcPr>
            <w:tcW w:w="0" w:type="auto"/>
            <w:tcBorders>
              <w:left w:val="single" w:color="auto" w:sz="4" w:space="0"/>
              <w:bottom w:val="single" w:color="auto" w:sz="6" w:space="0"/>
              <w:right w:val="single" w:color="auto" w:sz="6" w:space="0"/>
            </w:tcBorders>
            <w:vAlign w:val="center"/>
          </w:tcPr>
          <w:p>
            <w:pPr>
              <w:pStyle w:val="36"/>
            </w:pPr>
          </w:p>
        </w:tc>
        <w:tc>
          <w:tcPr>
            <w:tcW w:w="0" w:type="auto"/>
            <w:tcBorders>
              <w:left w:val="single" w:color="auto" w:sz="6" w:space="0"/>
              <w:bottom w:val="single" w:color="auto" w:sz="6" w:space="0"/>
              <w:right w:val="single" w:color="auto" w:sz="6" w:space="0"/>
            </w:tcBorders>
            <w:vAlign w:val="center"/>
          </w:tcPr>
          <w:p>
            <w:pPr>
              <w:pStyle w:val="36"/>
            </w:pPr>
          </w:p>
        </w:tc>
        <w:tc>
          <w:tcPr>
            <w:tcW w:w="0" w:type="auto"/>
            <w:tcBorders>
              <w:left w:val="single" w:color="auto" w:sz="4" w:space="0"/>
              <w:bottom w:val="single" w:color="auto" w:sz="6" w:space="0"/>
              <w:right w:val="single" w:color="auto" w:sz="4" w:space="0"/>
            </w:tcBorders>
            <w:vAlign w:val="center"/>
          </w:tcPr>
          <w:p>
            <w:pPr>
              <w:pStyle w:val="36"/>
            </w:pPr>
          </w:p>
        </w:tc>
        <w:tc>
          <w:tcPr>
            <w:tcW w:w="3810" w:type="dxa"/>
            <w:gridSpan w:val="3"/>
            <w:tcBorders>
              <w:top w:val="single" w:color="auto" w:sz="4" w:space="0"/>
              <w:left w:val="single" w:color="auto" w:sz="4" w:space="0"/>
              <w:bottom w:val="single" w:color="auto" w:sz="6" w:space="0"/>
              <w:right w:val="single" w:color="auto" w:sz="6" w:space="0"/>
            </w:tcBorders>
            <w:vAlign w:val="center"/>
          </w:tcPr>
          <w:p>
            <w:pPr>
              <w:pStyle w:val="36"/>
            </w:pPr>
            <w:r>
              <w:t>Minimum Io</w:t>
            </w:r>
          </w:p>
        </w:tc>
        <w:tc>
          <w:tcPr>
            <w:tcW w:w="1579" w:type="dxa"/>
            <w:tcBorders>
              <w:top w:val="single" w:color="auto" w:sz="4" w:space="0"/>
              <w:left w:val="single" w:color="auto" w:sz="6" w:space="0"/>
              <w:bottom w:val="single" w:color="auto" w:sz="6" w:space="0"/>
              <w:right w:val="single" w:color="auto" w:sz="4" w:space="0"/>
            </w:tcBorders>
            <w:vAlign w:val="center"/>
          </w:tcPr>
          <w:p>
            <w:pPr>
              <w:pStyle w:val="36"/>
            </w:pPr>
            <w:r>
              <w:t>Maximum Io</w:t>
            </w:r>
          </w:p>
        </w:tc>
      </w:tr>
      <w:tr>
        <w:tblPrEx>
          <w:tblCellMar>
            <w:top w:w="0" w:type="dxa"/>
            <w:left w:w="108" w:type="dxa"/>
            <w:bottom w:w="0" w:type="dxa"/>
            <w:right w:w="108" w:type="dxa"/>
          </w:tblCellMar>
        </w:tblPrEx>
        <w:trPr>
          <w:jc w:val="center"/>
        </w:trPr>
        <w:tc>
          <w:tcPr>
            <w:tcW w:w="1111" w:type="dxa"/>
            <w:tcBorders>
              <w:top w:val="single" w:color="auto" w:sz="6" w:space="0"/>
              <w:left w:val="single" w:color="auto" w:sz="4" w:space="0"/>
              <w:right w:val="single" w:color="auto" w:sz="6" w:space="0"/>
            </w:tcBorders>
            <w:vAlign w:val="center"/>
          </w:tcPr>
          <w:p>
            <w:pPr>
              <w:pStyle w:val="36"/>
            </w:pPr>
            <w:r>
              <w:t>dB</w:t>
            </w:r>
          </w:p>
        </w:tc>
        <w:tc>
          <w:tcPr>
            <w:tcW w:w="1110" w:type="dxa"/>
            <w:tcBorders>
              <w:top w:val="single" w:color="auto" w:sz="6" w:space="0"/>
              <w:left w:val="single" w:color="auto" w:sz="6" w:space="0"/>
              <w:right w:val="single" w:color="auto" w:sz="6" w:space="0"/>
            </w:tcBorders>
            <w:vAlign w:val="center"/>
          </w:tcPr>
          <w:p>
            <w:pPr>
              <w:pStyle w:val="36"/>
            </w:pPr>
            <w:r>
              <w:t>dB</w:t>
            </w:r>
          </w:p>
        </w:tc>
        <w:tc>
          <w:tcPr>
            <w:tcW w:w="1110" w:type="dxa"/>
            <w:tcBorders>
              <w:top w:val="single" w:color="auto" w:sz="6" w:space="0"/>
              <w:left w:val="single" w:color="auto" w:sz="4" w:space="0"/>
              <w:right w:val="single" w:color="auto" w:sz="4" w:space="0"/>
            </w:tcBorders>
            <w:vAlign w:val="center"/>
          </w:tcPr>
          <w:p>
            <w:pPr>
              <w:pStyle w:val="36"/>
              <w:rPr>
                <w:rFonts w:cs="Arial"/>
              </w:rPr>
            </w:pPr>
            <w:r>
              <w:t>dB</w:t>
            </w:r>
          </w:p>
        </w:tc>
        <w:tc>
          <w:tcPr>
            <w:tcW w:w="2232" w:type="dxa"/>
            <w:gridSpan w:val="2"/>
            <w:tcBorders>
              <w:top w:val="single" w:color="auto" w:sz="6" w:space="0"/>
              <w:left w:val="single" w:color="auto" w:sz="4" w:space="0"/>
              <w:bottom w:val="single" w:color="auto" w:sz="6" w:space="0"/>
              <w:right w:val="single" w:color="auto" w:sz="6" w:space="0"/>
            </w:tcBorders>
            <w:vAlign w:val="center"/>
          </w:tcPr>
          <w:p>
            <w:pPr>
              <w:pStyle w:val="36"/>
            </w:pPr>
            <w:r>
              <w:rPr>
                <w:rFonts w:cs="Arial"/>
              </w:rPr>
              <w:t xml:space="preserve">dBm / </w:t>
            </w:r>
            <w:r>
              <w:t>SCS</w:t>
            </w:r>
            <w:r>
              <w:rPr>
                <w:vertAlign w:val="subscript"/>
              </w:rPr>
              <w:t>SSB</w:t>
            </w:r>
            <w:r>
              <w:rPr>
                <w:vertAlign w:val="superscript"/>
              </w:rPr>
              <w:t xml:space="preserve"> Note 2</w:t>
            </w:r>
          </w:p>
        </w:tc>
        <w:tc>
          <w:tcPr>
            <w:tcW w:w="1578" w:type="dxa"/>
            <w:tcBorders>
              <w:top w:val="single" w:color="auto" w:sz="6" w:space="0"/>
              <w:left w:val="single" w:color="auto" w:sz="6" w:space="0"/>
              <w:right w:val="single" w:color="auto" w:sz="6" w:space="0"/>
            </w:tcBorders>
            <w:vAlign w:val="center"/>
          </w:tcPr>
          <w:p>
            <w:pPr>
              <w:pStyle w:val="36"/>
            </w:pPr>
            <w:r>
              <w:t>dBm/BW</w:t>
            </w:r>
            <w:r>
              <w:rPr>
                <w:vertAlign w:val="subscript"/>
              </w:rPr>
              <w:t>Channel</w:t>
            </w:r>
          </w:p>
        </w:tc>
        <w:tc>
          <w:tcPr>
            <w:tcW w:w="1579" w:type="dxa"/>
            <w:tcBorders>
              <w:top w:val="single" w:color="auto" w:sz="6" w:space="0"/>
              <w:left w:val="single" w:color="auto" w:sz="6" w:space="0"/>
              <w:right w:val="single" w:color="auto" w:sz="4" w:space="0"/>
            </w:tcBorders>
            <w:vAlign w:val="center"/>
          </w:tcPr>
          <w:p>
            <w:pPr>
              <w:pStyle w:val="36"/>
            </w:pPr>
            <w:r>
              <w:t>dBm/BW</w:t>
            </w:r>
            <w:r>
              <w:rPr>
                <w:vertAlign w:val="subscript"/>
              </w:rPr>
              <w:t>Channel</w:t>
            </w:r>
          </w:p>
        </w:tc>
      </w:tr>
      <w:tr>
        <w:tblPrEx>
          <w:tblCellMar>
            <w:top w:w="0" w:type="dxa"/>
            <w:left w:w="108" w:type="dxa"/>
            <w:bottom w:w="0" w:type="dxa"/>
            <w:right w:w="108" w:type="dxa"/>
          </w:tblCellMar>
        </w:tblPrEx>
        <w:trPr>
          <w:jc w:val="center"/>
        </w:trPr>
        <w:tc>
          <w:tcPr>
            <w:tcW w:w="0" w:type="auto"/>
            <w:tcBorders>
              <w:left w:val="single" w:color="auto" w:sz="4" w:space="0"/>
              <w:bottom w:val="single" w:color="auto" w:sz="6" w:space="0"/>
              <w:right w:val="single" w:color="auto" w:sz="6" w:space="0"/>
            </w:tcBorders>
            <w:vAlign w:val="center"/>
          </w:tcPr>
          <w:p>
            <w:pPr>
              <w:pStyle w:val="36"/>
            </w:pPr>
          </w:p>
        </w:tc>
        <w:tc>
          <w:tcPr>
            <w:tcW w:w="0" w:type="auto"/>
            <w:tcBorders>
              <w:left w:val="single" w:color="auto" w:sz="6" w:space="0"/>
              <w:bottom w:val="single" w:color="auto" w:sz="6" w:space="0"/>
              <w:right w:val="single" w:color="auto" w:sz="6" w:space="0"/>
            </w:tcBorders>
            <w:vAlign w:val="center"/>
          </w:tcPr>
          <w:p>
            <w:pPr>
              <w:pStyle w:val="36"/>
            </w:pPr>
          </w:p>
        </w:tc>
        <w:tc>
          <w:tcPr>
            <w:tcW w:w="0" w:type="auto"/>
            <w:tcBorders>
              <w:left w:val="single" w:color="auto" w:sz="4" w:space="0"/>
              <w:bottom w:val="single" w:color="auto" w:sz="4" w:space="0"/>
              <w:right w:val="single" w:color="auto" w:sz="4" w:space="0"/>
            </w:tcBorders>
            <w:vAlign w:val="center"/>
          </w:tcPr>
          <w:p>
            <w:pPr>
              <w:pStyle w:val="36"/>
              <w:rPr>
                <w:rFonts w:cs="Arial"/>
              </w:rPr>
            </w:pPr>
          </w:p>
        </w:tc>
        <w:tc>
          <w:tcPr>
            <w:tcW w:w="1116" w:type="dxa"/>
            <w:tcBorders>
              <w:top w:val="single" w:color="auto" w:sz="6" w:space="0"/>
              <w:left w:val="single" w:color="auto" w:sz="4" w:space="0"/>
              <w:bottom w:val="single" w:color="auto" w:sz="6" w:space="0"/>
              <w:right w:val="single" w:color="auto" w:sz="6" w:space="0"/>
            </w:tcBorders>
            <w:vAlign w:val="center"/>
          </w:tcPr>
          <w:p>
            <w:pPr>
              <w:pStyle w:val="36"/>
            </w:pPr>
            <w:r>
              <w:t>SCS</w:t>
            </w:r>
            <w:r>
              <w:rPr>
                <w:vertAlign w:val="subscript"/>
              </w:rPr>
              <w:t>SSB</w:t>
            </w:r>
            <w:r>
              <w:rPr>
                <w:rFonts w:cs="Arial"/>
              </w:rPr>
              <w:t xml:space="preserve"> = 120kHz</w:t>
            </w:r>
          </w:p>
        </w:tc>
        <w:tc>
          <w:tcPr>
            <w:tcW w:w="1116" w:type="dxa"/>
            <w:tcBorders>
              <w:top w:val="single" w:color="auto" w:sz="6" w:space="0"/>
              <w:left w:val="single" w:color="auto" w:sz="4" w:space="0"/>
              <w:bottom w:val="single" w:color="auto" w:sz="6" w:space="0"/>
              <w:right w:val="single" w:color="auto" w:sz="6" w:space="0"/>
            </w:tcBorders>
            <w:vAlign w:val="center"/>
          </w:tcPr>
          <w:p>
            <w:pPr>
              <w:pStyle w:val="36"/>
            </w:pPr>
            <w:r>
              <w:t>SCS</w:t>
            </w:r>
            <w:r>
              <w:rPr>
                <w:vertAlign w:val="subscript"/>
              </w:rPr>
              <w:t>SSB</w:t>
            </w:r>
            <w:r>
              <w:rPr>
                <w:rFonts w:cs="Arial"/>
              </w:rPr>
              <w:t xml:space="preserve"> = 240kHz</w:t>
            </w:r>
          </w:p>
        </w:tc>
        <w:tc>
          <w:tcPr>
            <w:tcW w:w="0" w:type="auto"/>
            <w:tcBorders>
              <w:left w:val="single" w:color="auto" w:sz="6" w:space="0"/>
              <w:bottom w:val="single" w:color="auto" w:sz="6" w:space="0"/>
              <w:right w:val="single" w:color="auto" w:sz="6" w:space="0"/>
            </w:tcBorders>
            <w:vAlign w:val="center"/>
          </w:tcPr>
          <w:p>
            <w:pPr>
              <w:pStyle w:val="36"/>
            </w:pPr>
          </w:p>
        </w:tc>
        <w:tc>
          <w:tcPr>
            <w:tcW w:w="0" w:type="auto"/>
            <w:tcBorders>
              <w:left w:val="single" w:color="auto" w:sz="6" w:space="0"/>
              <w:bottom w:val="single" w:color="auto" w:sz="6" w:space="0"/>
              <w:right w:val="single" w:color="auto" w:sz="4" w:space="0"/>
            </w:tcBorders>
            <w:vAlign w:val="center"/>
          </w:tcPr>
          <w:p>
            <w:pPr>
              <w:pStyle w:val="36"/>
            </w:pPr>
          </w:p>
        </w:tc>
      </w:tr>
      <w:tr>
        <w:tblPrEx>
          <w:tblCellMar>
            <w:top w:w="0" w:type="dxa"/>
            <w:left w:w="108" w:type="dxa"/>
            <w:bottom w:w="0" w:type="dxa"/>
            <w:right w:w="108" w:type="dxa"/>
          </w:tblCellMar>
        </w:tblPrEx>
        <w:trPr>
          <w:jc w:val="center"/>
        </w:trPr>
        <w:tc>
          <w:tcPr>
            <w:tcW w:w="1111" w:type="dxa"/>
            <w:tcBorders>
              <w:top w:val="single" w:color="auto" w:sz="6" w:space="0"/>
              <w:left w:val="single" w:color="auto" w:sz="4" w:space="0"/>
              <w:bottom w:val="nil"/>
              <w:right w:val="single" w:color="auto" w:sz="6" w:space="0"/>
            </w:tcBorders>
          </w:tcPr>
          <w:p>
            <w:pPr>
              <w:pStyle w:val="37"/>
            </w:pPr>
            <w:r>
              <w:rPr>
                <w:rFonts w:cs="Arial"/>
                <w:highlight w:val="yellow"/>
              </w:rPr>
              <w:t>±</w:t>
            </w:r>
            <w:r>
              <w:rPr>
                <w:highlight w:val="yellow"/>
              </w:rPr>
              <w:t>6.5</w:t>
            </w:r>
          </w:p>
        </w:tc>
        <w:tc>
          <w:tcPr>
            <w:tcW w:w="1110" w:type="dxa"/>
            <w:tcBorders>
              <w:top w:val="single" w:color="auto" w:sz="6" w:space="0"/>
              <w:left w:val="single" w:color="auto" w:sz="6" w:space="0"/>
              <w:bottom w:val="nil"/>
              <w:right w:val="single" w:color="auto" w:sz="4" w:space="0"/>
            </w:tcBorders>
          </w:tcPr>
          <w:p>
            <w:pPr>
              <w:pStyle w:val="37"/>
            </w:pPr>
            <w:r>
              <w:rPr>
                <w:rFonts w:cs="Arial"/>
              </w:rPr>
              <w:t>±</w:t>
            </w:r>
            <w:r>
              <w:t>9.5</w:t>
            </w:r>
          </w:p>
        </w:tc>
        <w:tc>
          <w:tcPr>
            <w:tcW w:w="1110" w:type="dxa"/>
            <w:tcBorders>
              <w:top w:val="single" w:color="auto" w:sz="4" w:space="0"/>
              <w:left w:val="single" w:color="auto" w:sz="4" w:space="0"/>
              <w:bottom w:val="single" w:color="auto" w:sz="4" w:space="0"/>
              <w:right w:val="single" w:color="auto" w:sz="4" w:space="0"/>
            </w:tcBorders>
          </w:tcPr>
          <w:p>
            <w:pPr>
              <w:pStyle w:val="37"/>
            </w:pPr>
            <w:r>
              <w:rPr>
                <w:rFonts w:eastAsia="Yu Mincho" w:cs="Arial"/>
                <w:lang w:eastAsia="ja-JP"/>
              </w:rPr>
              <w:t>≥-3</w:t>
            </w:r>
          </w:p>
        </w:tc>
        <w:tc>
          <w:tcPr>
            <w:tcW w:w="2232" w:type="dxa"/>
            <w:gridSpan w:val="2"/>
            <w:tcBorders>
              <w:top w:val="single" w:color="auto" w:sz="6" w:space="0"/>
              <w:left w:val="single" w:color="auto" w:sz="4" w:space="0"/>
              <w:bottom w:val="single" w:color="auto" w:sz="6" w:space="0"/>
              <w:right w:val="single" w:color="auto" w:sz="6" w:space="0"/>
            </w:tcBorders>
          </w:tcPr>
          <w:p>
            <w:pPr>
              <w:pStyle w:val="37"/>
              <w:rPr>
                <w:rFonts w:eastAsia="Yu Mincho"/>
                <w:lang w:eastAsia="ja-JP"/>
              </w:rPr>
            </w:pPr>
            <w:r>
              <w:t>Same value as SSB_RP in Table B.2.4.1-2, according to UE Power class, operating band and angle of arrival</w:t>
            </w:r>
          </w:p>
        </w:tc>
        <w:tc>
          <w:tcPr>
            <w:tcW w:w="1578" w:type="dxa"/>
            <w:tcBorders>
              <w:top w:val="single" w:color="auto" w:sz="6" w:space="0"/>
              <w:left w:val="single" w:color="auto" w:sz="6" w:space="0"/>
              <w:bottom w:val="single" w:color="auto" w:sz="6" w:space="0"/>
              <w:right w:val="single" w:color="auto" w:sz="6" w:space="0"/>
            </w:tcBorders>
          </w:tcPr>
          <w:p>
            <w:pPr>
              <w:pStyle w:val="37"/>
            </w:pPr>
            <w:r>
              <w:rPr>
                <w:lang w:eastAsia="zh-CN"/>
              </w:rPr>
              <w:t>N/A</w:t>
            </w:r>
          </w:p>
        </w:tc>
        <w:tc>
          <w:tcPr>
            <w:tcW w:w="1579" w:type="dxa"/>
            <w:tcBorders>
              <w:top w:val="single" w:color="auto" w:sz="6" w:space="0"/>
              <w:left w:val="single" w:color="auto" w:sz="6" w:space="0"/>
              <w:bottom w:val="single" w:color="auto" w:sz="6" w:space="0"/>
              <w:right w:val="single" w:color="auto" w:sz="4" w:space="0"/>
            </w:tcBorders>
          </w:tcPr>
          <w:p>
            <w:pPr>
              <w:pStyle w:val="37"/>
            </w:pPr>
            <w:r>
              <w:t>-70</w:t>
            </w:r>
          </w:p>
        </w:tc>
      </w:tr>
      <w:tr>
        <w:tblPrEx>
          <w:tblCellMar>
            <w:top w:w="0" w:type="dxa"/>
            <w:left w:w="108" w:type="dxa"/>
            <w:bottom w:w="0" w:type="dxa"/>
            <w:right w:w="108" w:type="dxa"/>
          </w:tblCellMar>
        </w:tblPrEx>
        <w:trPr>
          <w:jc w:val="center"/>
        </w:trPr>
        <w:tc>
          <w:tcPr>
            <w:tcW w:w="1111" w:type="dxa"/>
            <w:tcBorders>
              <w:top w:val="single" w:color="auto" w:sz="6" w:space="0"/>
              <w:left w:val="single" w:color="auto" w:sz="4" w:space="0"/>
              <w:bottom w:val="single" w:color="auto" w:sz="6" w:space="0"/>
              <w:right w:val="single" w:color="auto" w:sz="6" w:space="0"/>
            </w:tcBorders>
          </w:tcPr>
          <w:p>
            <w:pPr>
              <w:pStyle w:val="37"/>
            </w:pPr>
            <w:r>
              <w:rPr/>
              <w:sym w:font="Symbol" w:char="F0B1"/>
            </w:r>
            <w:r>
              <w:t>8.5</w:t>
            </w:r>
          </w:p>
        </w:tc>
        <w:tc>
          <w:tcPr>
            <w:tcW w:w="1110" w:type="dxa"/>
            <w:tcBorders>
              <w:top w:val="single" w:color="auto" w:sz="6" w:space="0"/>
              <w:left w:val="single" w:color="auto" w:sz="6" w:space="0"/>
              <w:bottom w:val="single" w:color="auto" w:sz="6" w:space="0"/>
              <w:right w:val="single" w:color="auto" w:sz="6" w:space="0"/>
            </w:tcBorders>
          </w:tcPr>
          <w:p>
            <w:pPr>
              <w:pStyle w:val="37"/>
            </w:pPr>
            <w:r>
              <w:rPr/>
              <w:sym w:font="Symbol" w:char="F0B1"/>
            </w:r>
            <w:r>
              <w:t>11.5</w:t>
            </w:r>
          </w:p>
        </w:tc>
        <w:tc>
          <w:tcPr>
            <w:tcW w:w="1110" w:type="dxa"/>
            <w:tcBorders>
              <w:top w:val="single" w:color="auto" w:sz="4" w:space="0"/>
              <w:left w:val="single" w:color="auto" w:sz="4" w:space="0"/>
              <w:bottom w:val="single" w:color="auto" w:sz="6" w:space="0"/>
              <w:right w:val="single" w:color="auto" w:sz="4" w:space="0"/>
            </w:tcBorders>
          </w:tcPr>
          <w:p>
            <w:pPr>
              <w:pStyle w:val="37"/>
            </w:pPr>
            <w:r>
              <w:rPr>
                <w:rFonts w:eastAsia="Yu Mincho" w:cs="Arial"/>
                <w:lang w:eastAsia="ja-JP"/>
              </w:rPr>
              <w:t>≥-3</w:t>
            </w:r>
          </w:p>
        </w:tc>
        <w:tc>
          <w:tcPr>
            <w:tcW w:w="2232" w:type="dxa"/>
            <w:gridSpan w:val="2"/>
            <w:tcBorders>
              <w:top w:val="single" w:color="auto" w:sz="6" w:space="0"/>
              <w:left w:val="single" w:color="auto" w:sz="4" w:space="0"/>
              <w:bottom w:val="single" w:color="auto" w:sz="6" w:space="0"/>
              <w:right w:val="single" w:color="auto" w:sz="6" w:space="0"/>
            </w:tcBorders>
          </w:tcPr>
          <w:p>
            <w:pPr>
              <w:pStyle w:val="37"/>
            </w:pPr>
            <w:r>
              <w:t>N/A</w:t>
            </w:r>
          </w:p>
        </w:tc>
        <w:tc>
          <w:tcPr>
            <w:tcW w:w="1578" w:type="dxa"/>
            <w:tcBorders>
              <w:top w:val="single" w:color="auto" w:sz="6" w:space="0"/>
              <w:left w:val="single" w:color="auto" w:sz="6" w:space="0"/>
              <w:bottom w:val="single" w:color="auto" w:sz="6" w:space="0"/>
              <w:right w:val="single" w:color="auto" w:sz="6" w:space="0"/>
            </w:tcBorders>
          </w:tcPr>
          <w:p>
            <w:pPr>
              <w:pStyle w:val="37"/>
            </w:pPr>
            <w:r>
              <w:t>-70</w:t>
            </w:r>
          </w:p>
        </w:tc>
        <w:tc>
          <w:tcPr>
            <w:tcW w:w="1579" w:type="dxa"/>
            <w:tcBorders>
              <w:top w:val="single" w:color="auto" w:sz="6" w:space="0"/>
              <w:left w:val="single" w:color="auto" w:sz="6" w:space="0"/>
              <w:bottom w:val="single" w:color="auto" w:sz="6" w:space="0"/>
              <w:right w:val="single" w:color="auto" w:sz="4" w:space="0"/>
            </w:tcBorders>
          </w:tcPr>
          <w:p>
            <w:pPr>
              <w:pStyle w:val="37"/>
            </w:pPr>
            <w:r>
              <w:t>-50</w:t>
            </w:r>
          </w:p>
        </w:tc>
      </w:tr>
      <w:tr>
        <w:tblPrEx>
          <w:tblCellMar>
            <w:top w:w="0" w:type="dxa"/>
            <w:left w:w="108" w:type="dxa"/>
            <w:bottom w:w="0" w:type="dxa"/>
            <w:right w:w="108" w:type="dxa"/>
          </w:tblCellMar>
        </w:tblPrEx>
        <w:trPr>
          <w:jc w:val="center"/>
        </w:trPr>
        <w:tc>
          <w:tcPr>
            <w:tcW w:w="8720" w:type="dxa"/>
            <w:gridSpan w:val="7"/>
            <w:tcBorders>
              <w:top w:val="single" w:color="auto" w:sz="6" w:space="0"/>
              <w:left w:val="single" w:color="auto" w:sz="4" w:space="0"/>
              <w:bottom w:val="single" w:color="auto" w:sz="6" w:space="0"/>
              <w:right w:val="single" w:color="auto" w:sz="4" w:space="0"/>
            </w:tcBorders>
            <w:vAlign w:val="center"/>
          </w:tcPr>
          <w:p>
            <w:pPr>
              <w:pStyle w:val="55"/>
            </w:pPr>
            <w:r>
              <w:t>NOTE 1:</w:t>
            </w:r>
            <w:r>
              <w:tab/>
            </w:r>
            <w:r>
              <w:t xml:space="preserve">Io </w:t>
            </w:r>
            <w:r>
              <w:rPr>
                <w:rFonts w:eastAsia="MS Mincho"/>
              </w:rPr>
              <w:t>specified at the Reference point, and</w:t>
            </w:r>
            <w:r>
              <w:t xml:space="preserve"> assumed to have constant EPRE across the bandwidth.</w:t>
            </w:r>
          </w:p>
          <w:p>
            <w:pPr>
              <w:pStyle w:val="55"/>
            </w:pPr>
            <w:r>
              <w:t>NOTE 2:</w:t>
            </w:r>
            <w:r>
              <w:tab/>
            </w:r>
            <w:r>
              <w:t>Values based on Refsens and EIS spherical coverage as defined in clauses 7.3.2 and 7.3.4 of TS 38.101-2 [19]. Applicable side condition selected depending on angle of arrival.</w:t>
            </w:r>
          </w:p>
          <w:p>
            <w:pPr>
              <w:pStyle w:val="55"/>
            </w:pPr>
            <w:r>
              <w:t>NOTE 3:</w:t>
            </w:r>
            <w:r>
              <w:tab/>
            </w:r>
            <w:r>
              <w:t xml:space="preserve">In the test cases, the SSB </w:t>
            </w:r>
            <w:r>
              <w:rPr>
                <w:rFonts w:hint="eastAsia"/>
              </w:rPr>
              <w:t>Ê</w:t>
            </w:r>
            <w:r>
              <w:t xml:space="preserve">s/Iot and related parameters may need to be adjusted to ensure </w:t>
            </w:r>
            <w:r>
              <w:rPr>
                <w:rFonts w:hint="eastAsia"/>
              </w:rPr>
              <w:t>Ê</w:t>
            </w:r>
            <w:r>
              <w:t>s/Iot at UE baseband is above the value defined in this table.</w:t>
            </w:r>
          </w:p>
        </w:tc>
      </w:tr>
    </w:tbl>
    <w:p>
      <w:pPr>
        <w:spacing w:before="161" w:beforeLines="50" w:after="161" w:afterLines="50"/>
        <w:jc w:val="both"/>
        <w:rPr>
          <w:rFonts w:hint="eastAsia"/>
          <w:lang w:val="en-US" w:eastAsia="zh-CN"/>
        </w:rPr>
      </w:pPr>
      <w:r>
        <w:rPr>
          <w:rFonts w:hint="eastAsia"/>
          <w:lang w:val="en-US" w:eastAsia="zh-CN"/>
        </w:rPr>
        <w:t>One question is that the proposed margin shall be maintained or smaller than legacy value. There are two options to consider the change of proposed margin:</w:t>
      </w:r>
    </w:p>
    <w:p>
      <w:pPr>
        <w:numPr>
          <w:ilvl w:val="0"/>
          <w:numId w:val="8"/>
        </w:numPr>
        <w:spacing w:before="161" w:beforeLines="50" w:after="161" w:afterLines="50"/>
        <w:ind w:left="420" w:hanging="420"/>
        <w:jc w:val="both"/>
        <w:rPr>
          <w:rFonts w:hint="eastAsia"/>
          <w:lang w:val="en-US" w:eastAsia="zh-CN"/>
        </w:rPr>
      </w:pPr>
      <w:r>
        <w:rPr>
          <w:rFonts w:hint="eastAsia"/>
          <w:lang w:val="en-US" w:eastAsia="zh-CN"/>
        </w:rPr>
        <w:t>Option 1: Maintain the legacy measurement accuracy. In legacy, UE shall do the full beam sweeping in order to confirm the best Rx beam to receive the downlink RS and get the better communication with network. The AI system has already improve the overhead and reduce the complexity than legacy. Thus, maintain the legacy measurement accuracy could be understood.</w:t>
      </w:r>
    </w:p>
    <w:p>
      <w:pPr>
        <w:numPr>
          <w:ilvl w:val="0"/>
          <w:numId w:val="8"/>
        </w:numPr>
        <w:spacing w:before="161" w:beforeLines="50" w:after="161" w:afterLines="50"/>
        <w:ind w:left="420" w:hanging="420"/>
        <w:jc w:val="both"/>
        <w:rPr>
          <w:rFonts w:hint="eastAsia"/>
          <w:lang w:val="en-US" w:eastAsia="zh-CN"/>
        </w:rPr>
      </w:pPr>
      <w:r>
        <w:rPr>
          <w:rFonts w:hint="eastAsia"/>
          <w:lang w:val="en-US" w:eastAsia="zh-CN"/>
        </w:rPr>
        <w:t xml:space="preserve">Option 2: Smaller than legacy measurement accuracy. This is a more direct understanding since the AI performance shall have the better performance than legacy and the measurement accuracy shall be tightened. In this way, the performance of AI method could be displayed.  </w:t>
      </w:r>
    </w:p>
    <w:p>
      <w:pPr>
        <w:spacing w:before="161" w:beforeLines="50" w:after="161" w:afterLines="50"/>
        <w:jc w:val="both"/>
        <w:rPr>
          <w:rFonts w:hint="default"/>
          <w:lang w:val="en-US" w:eastAsia="zh-CN"/>
        </w:rPr>
      </w:pPr>
      <w:r>
        <w:rPr>
          <w:rFonts w:hint="eastAsia"/>
          <w:lang w:val="en-US" w:eastAsia="zh-CN"/>
        </w:rPr>
        <w:t>To my understanding, option 1 and option 2 are fine for us, the proposed margin could be equal to and smaller than the legacy measurement accuracy requirements.</w:t>
      </w:r>
    </w:p>
    <w:p>
      <w:pPr>
        <w:numPr>
          <w:ilvl w:val="0"/>
          <w:numId w:val="0"/>
        </w:numPr>
        <w:spacing w:before="161" w:beforeLines="50" w:after="161" w:afterLines="50"/>
        <w:jc w:val="both"/>
        <w:rPr>
          <w:rFonts w:hint="eastAsia"/>
          <w:b/>
          <w:bCs/>
          <w:lang w:val="en-US" w:eastAsia="zh-CN"/>
        </w:rPr>
      </w:pPr>
      <w:r>
        <w:rPr>
          <w:rFonts w:hint="eastAsia"/>
          <w:b/>
          <w:bCs/>
          <w:lang w:val="en-US" w:eastAsia="zh-CN"/>
        </w:rPr>
        <w:t>Observation 1: The top-K beams are reported or predicted beams or top-K beams are groundtruth beams.</w:t>
      </w:r>
    </w:p>
    <w:p>
      <w:pPr>
        <w:numPr>
          <w:ilvl w:val="0"/>
          <w:numId w:val="0"/>
        </w:numPr>
        <w:spacing w:before="161" w:beforeLines="50" w:after="161" w:afterLines="50"/>
        <w:jc w:val="both"/>
        <w:rPr>
          <w:rFonts w:hint="eastAsia"/>
          <w:b/>
          <w:bCs/>
          <w:lang w:val="en-US" w:eastAsia="zh-CN"/>
        </w:rPr>
      </w:pPr>
      <w:r>
        <w:rPr>
          <w:rFonts w:hint="eastAsia"/>
          <w:b/>
          <w:bCs/>
          <w:lang w:val="en-US" w:eastAsia="zh-CN"/>
        </w:rPr>
        <w:t>Observation 2: For the top-K beams are groundtruth beams but not the predicted beams, may be some UE reported beams could not be verified or why should we require the RSRP accuracy of the beam that the UE doesn’t even report.</w:t>
      </w:r>
    </w:p>
    <w:p>
      <w:pPr>
        <w:numPr>
          <w:ilvl w:val="0"/>
          <w:numId w:val="0"/>
        </w:numPr>
        <w:spacing w:before="161" w:beforeLines="50" w:after="161" w:afterLines="50"/>
        <w:jc w:val="both"/>
        <w:rPr>
          <w:rFonts w:hint="eastAsia"/>
          <w:b/>
          <w:bCs/>
          <w:lang w:val="en-US" w:eastAsia="zh-CN"/>
        </w:rPr>
      </w:pPr>
      <w:r>
        <w:rPr>
          <w:rFonts w:hint="eastAsia"/>
          <w:b/>
          <w:bCs/>
          <w:lang w:val="en-US" w:eastAsia="zh-CN"/>
        </w:rPr>
        <w:t>Observation 3: What is the standard to verify the performance of AI system based on the absolute RSRP accuracy shall be considered or how to quantify the the small or large L1-RSRP difference shall be studied.</w:t>
      </w:r>
    </w:p>
    <w:p>
      <w:pPr>
        <w:spacing w:before="161" w:beforeLines="50" w:after="161" w:afterLines="50"/>
        <w:jc w:val="both"/>
        <w:rPr>
          <w:rFonts w:hint="eastAsia"/>
          <w:b/>
          <w:bCs/>
          <w:lang w:val="en-US" w:eastAsia="zh-CN"/>
        </w:rPr>
      </w:pPr>
      <w:r>
        <w:rPr>
          <w:rFonts w:hint="eastAsia"/>
          <w:b/>
          <w:bCs/>
          <w:lang w:val="en-US" w:eastAsia="zh-CN"/>
        </w:rPr>
        <w:t>Observation 4: One question is that the proposed margin shall be maintained or smaller than legacy value. There are two options to consider the change of proposed margin:</w:t>
      </w:r>
    </w:p>
    <w:p>
      <w:pPr>
        <w:numPr>
          <w:ilvl w:val="0"/>
          <w:numId w:val="9"/>
        </w:numPr>
        <w:spacing w:before="161" w:beforeLines="50" w:after="161" w:afterLines="50"/>
        <w:ind w:left="420" w:hanging="420"/>
        <w:jc w:val="both"/>
        <w:rPr>
          <w:rFonts w:hint="eastAsia"/>
          <w:b/>
          <w:bCs/>
          <w:lang w:val="en-US" w:eastAsia="zh-CN"/>
        </w:rPr>
      </w:pPr>
      <w:r>
        <w:rPr>
          <w:rFonts w:hint="eastAsia"/>
          <w:b/>
          <w:bCs/>
          <w:lang w:val="en-US" w:eastAsia="zh-CN"/>
        </w:rPr>
        <w:t>Option 1: Maintain the legacy measurement accuracy. In legacy, UE shall do the full beam sweeping in order to confirm the best Rx beam to receive the downlink RS and get the better communication with network. The AI system has already improve the overhead and reduce the complexity than legacy. Thus, maintain the legacy measurement accuracy could be understood.</w:t>
      </w:r>
    </w:p>
    <w:p>
      <w:pPr>
        <w:numPr>
          <w:ilvl w:val="0"/>
          <w:numId w:val="9"/>
        </w:numPr>
        <w:spacing w:before="161" w:beforeLines="50" w:after="161" w:afterLines="50"/>
        <w:ind w:left="420" w:hanging="420"/>
        <w:jc w:val="both"/>
        <w:rPr>
          <w:rFonts w:hint="default"/>
          <w:b/>
          <w:bCs/>
          <w:lang w:val="en-US" w:eastAsia="zh-CN"/>
        </w:rPr>
      </w:pPr>
      <w:r>
        <w:rPr>
          <w:rFonts w:hint="eastAsia"/>
          <w:b/>
          <w:bCs/>
          <w:lang w:val="en-US" w:eastAsia="zh-CN"/>
        </w:rPr>
        <w:t xml:space="preserve">Option 2: Smaller than legacy measurement accuracy. This is a more direct understanding since the AI performance shall have the better performance than legacy and the measurement accuracy shall be tightened. In this way, the performance of AI method could be displayed. </w:t>
      </w:r>
    </w:p>
    <w:p>
      <w:pPr>
        <w:numPr>
          <w:ilvl w:val="0"/>
          <w:numId w:val="0"/>
        </w:numPr>
        <w:spacing w:before="161" w:beforeLines="50" w:after="161" w:afterLines="50"/>
        <w:jc w:val="both"/>
        <w:rPr>
          <w:rFonts w:hint="eastAsia"/>
          <w:b/>
          <w:bCs/>
          <w:lang w:val="en-US" w:eastAsia="zh-CN"/>
        </w:rPr>
      </w:pPr>
      <w:r>
        <w:rPr>
          <w:rFonts w:hint="eastAsia"/>
          <w:b/>
          <w:bCs/>
          <w:lang w:val="en-US" w:eastAsia="zh-CN"/>
        </w:rPr>
        <w:t>Proposal 1: For the absolute RSRP accuracy, the index i shall be the top-K beams based on the predicted beams or UE reported beams instead of the groundtruth beams.</w:t>
      </w:r>
    </w:p>
    <w:p>
      <w:pPr>
        <w:numPr>
          <w:ilvl w:val="0"/>
          <w:numId w:val="0"/>
        </w:numPr>
        <w:spacing w:before="161" w:beforeLines="50" w:after="161" w:afterLines="50"/>
        <w:jc w:val="both"/>
        <w:rPr>
          <w:rFonts w:hint="default"/>
          <w:b/>
          <w:bCs/>
          <w:lang w:val="en-US" w:eastAsia="zh-CN"/>
        </w:rPr>
      </w:pPr>
      <w:r>
        <w:rPr>
          <w:rFonts w:hint="eastAsia"/>
          <w:b/>
          <w:bCs/>
          <w:lang w:val="en-US" w:eastAsia="zh-CN"/>
        </w:rPr>
        <w:t>Proposal 2: One margin for the absolute RSRP accuracy shall be studied in order to verify the performance of AI system. The proposed margin could be equal to and smaller than the legacy measurement accuracy requirements.</w:t>
      </w:r>
    </w:p>
    <w:p>
      <w:pPr>
        <w:jc w:val="both"/>
        <w:rPr>
          <w:rFonts w:hint="eastAsia"/>
          <w:lang w:val="en-US" w:eastAsia="zh-CN"/>
        </w:rPr>
      </w:pPr>
      <w:r>
        <w:rPr>
          <w:rFonts w:hint="eastAsia"/>
          <w:lang w:val="en-US" w:eastAsia="zh-CN"/>
        </w:rPr>
        <w:t>In the last meeting, we also had one remaining issue on absolute RSRP accuracy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14" w:type="dxa"/>
          </w:tcPr>
          <w:p>
            <w:pPr>
              <w:pStyle w:val="31"/>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31"/>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hint="eastAsia" w:eastAsia="Yu Mincho"/>
                <w:color w:val="0070C0"/>
                <w:szCs w:val="24"/>
                <w:lang w:eastAsia="ja-JP"/>
              </w:rPr>
              <w:t>applicable only to top predicted beam</w:t>
            </w:r>
          </w:p>
          <w:p>
            <w:pPr>
              <w:pStyle w:val="31"/>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hint="eastAsia" w:eastAsia="Yu Mincho"/>
                <w:color w:val="0070C0"/>
                <w:szCs w:val="24"/>
                <w:lang w:eastAsia="ja-JP"/>
              </w:rPr>
              <w:t>Option 2: should apply to all K predicted beams</w:t>
            </w:r>
          </w:p>
          <w:p>
            <w:pPr>
              <w:pStyle w:val="31"/>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hint="eastAsia" w:eastAsia="Yu Mincho"/>
                <w:color w:val="0070C0"/>
                <w:szCs w:val="24"/>
                <w:lang w:eastAsia="ja-JP"/>
              </w:rPr>
              <w:t>Option 3: postpone this discussion to the performance part as it relates to accuracy</w:t>
            </w:r>
          </w:p>
          <w:p>
            <w:pPr>
              <w:pStyle w:val="31"/>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hint="eastAsia" w:eastAsia="Yu Mincho"/>
                <w:color w:val="0070C0"/>
                <w:szCs w:val="24"/>
                <w:lang w:eastAsia="ja-JP"/>
              </w:rPr>
              <w:t>Option 4: others</w:t>
            </w:r>
          </w:p>
          <w:p>
            <w:pPr>
              <w:pStyle w:val="31"/>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31"/>
              <w:numPr>
                <w:ilvl w:val="1"/>
                <w:numId w:val="10"/>
              </w:numPr>
              <w:overflowPunct/>
              <w:autoSpaceDE/>
              <w:autoSpaceDN/>
              <w:adjustRightInd/>
              <w:spacing w:after="120"/>
              <w:ind w:left="1440" w:firstLineChars="0"/>
              <w:textAlignment w:val="auto"/>
              <w:rPr>
                <w:rFonts w:hint="default"/>
                <w:vertAlign w:val="baseline"/>
                <w:lang w:val="en-US" w:eastAsia="zh-CN"/>
              </w:rPr>
            </w:pPr>
            <w:r>
              <w:rPr>
                <w:rFonts w:hint="eastAsia" w:eastAsia="Yu Mincho"/>
                <w:color w:val="0070C0"/>
                <w:szCs w:val="24"/>
                <w:lang w:eastAsia="ja-JP"/>
              </w:rPr>
              <w:t>Option 3</w:t>
            </w:r>
          </w:p>
        </w:tc>
      </w:tr>
    </w:tbl>
    <w:p>
      <w:pPr>
        <w:jc w:val="both"/>
        <w:rPr>
          <w:rFonts w:hint="eastAsia"/>
          <w:lang w:val="en-US" w:eastAsia="zh-CN"/>
        </w:rPr>
      </w:pPr>
      <w:r>
        <w:rPr>
          <w:rFonts w:hint="eastAsia"/>
          <w:lang w:val="en-US" w:eastAsia="zh-CN"/>
        </w:rPr>
        <w:t xml:space="preserve">We firstly agreed that absolute RSRP accuracy requirement applies to Top-1 of predicted beams at least. But whether to apply to other beams has not been decided yet. To our understanding, the absolute RSRP accuracy shall be applied to all K predicted beams. </w:t>
      </w:r>
    </w:p>
    <w:p>
      <w:pPr>
        <w:jc w:val="both"/>
        <w:rPr>
          <w:rFonts w:hint="eastAsia"/>
          <w:lang w:val="en-US" w:eastAsia="zh-CN"/>
        </w:rPr>
      </w:pPr>
      <w:r>
        <w:rPr>
          <w:rFonts w:hint="eastAsia"/>
          <w:lang w:val="en-US" w:eastAsia="zh-CN"/>
        </w:rPr>
        <w:t>Actually, RAN1 has already defined the absolute RSRP reporting format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14" w:type="dxa"/>
          </w:tcPr>
          <w:p>
            <w:pPr>
              <w:overflowPunct w:val="0"/>
              <w:autoSpaceDE w:val="0"/>
              <w:autoSpaceDN w:val="0"/>
              <w:adjustRightInd w:val="0"/>
              <w:spacing w:after="0"/>
              <w:textAlignment w:val="baseline"/>
              <w:rPr>
                <w:rFonts w:ascii="Times" w:hAnsi="Times" w:eastAsia="等线"/>
                <w:sz w:val="20"/>
                <w:highlight w:val="green"/>
                <w:lang w:val="en-GB"/>
              </w:rPr>
            </w:pPr>
            <w:r>
              <w:rPr>
                <w:rFonts w:hint="eastAsia" w:ascii="Times" w:hAnsi="Times" w:eastAsia="等线"/>
                <w:sz w:val="20"/>
                <w:highlight w:val="green"/>
                <w:lang w:val="en-GB"/>
              </w:rPr>
              <w:t>Agreement</w:t>
            </w:r>
          </w:p>
          <w:p>
            <w:pPr>
              <w:overflowPunct w:val="0"/>
              <w:autoSpaceDE w:val="0"/>
              <w:autoSpaceDN w:val="0"/>
              <w:adjustRightInd w:val="0"/>
              <w:snapToGrid w:val="0"/>
              <w:spacing w:after="120" w:afterLines="50"/>
              <w:textAlignment w:val="baseline"/>
              <w:rPr>
                <w:rFonts w:ascii="Times" w:hAnsi="Times" w:eastAsia="宋体"/>
                <w:sz w:val="20"/>
                <w:lang w:val="en-GB"/>
              </w:rPr>
            </w:pPr>
            <w:r>
              <w:rPr>
                <w:rFonts w:ascii="Times" w:hAnsi="Times" w:eastAsia="宋体"/>
                <w:sz w:val="20"/>
                <w:lang w:val="en-GB"/>
              </w:rPr>
              <w:t xml:space="preserve">For UE-sided model inference, support the following report format (i.e., CSI field mapping order) for BM-Case1, </w:t>
            </w:r>
            <w:r>
              <w:rPr>
                <w:rFonts w:hint="eastAsia" w:ascii="Times" w:hAnsi="Times" w:eastAsia="宋体"/>
                <w:sz w:val="20"/>
                <w:lang w:val="en-GB"/>
              </w:rPr>
              <w:t>for b</w:t>
            </w:r>
            <w:r>
              <w:rPr>
                <w:rFonts w:ascii="Times" w:hAnsi="Times" w:eastAsia="宋体"/>
                <w:sz w:val="20"/>
                <w:lang w:val="en-GB"/>
              </w:rPr>
              <w:t>eam information on predicted Top K beam(s) among a set of beams and RSRP of predicted Top K beam(s) among a set of beams</w:t>
            </w:r>
          </w:p>
          <w:tbl>
            <w:tblPr>
              <w:tblStyle w:val="18"/>
              <w:tblW w:w="5035" w:type="dxa"/>
              <w:jc w:val="center"/>
              <w:tblLayout w:type="autofit"/>
              <w:tblCellMar>
                <w:top w:w="0" w:type="dxa"/>
                <w:left w:w="0" w:type="dxa"/>
                <w:bottom w:w="0" w:type="dxa"/>
                <w:right w:w="0" w:type="dxa"/>
              </w:tblCellMar>
            </w:tblPr>
            <w:tblGrid>
              <w:gridCol w:w="5035"/>
            </w:tblGrid>
            <w:tr>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hd w:val="clear" w:color="auto" w:fill="FFFFFF"/>
                    <w:adjustRightInd w:val="0"/>
                    <w:snapToGrid w:val="0"/>
                    <w:jc w:val="center"/>
                    <w:rPr>
                      <w:rFonts w:ascii="Times" w:hAnsi="Times" w:eastAsia="宋体"/>
                      <w:color w:val="000000"/>
                      <w:sz w:val="20"/>
                      <w:lang w:val="en-GB" w:eastAsia="en-US"/>
                    </w:rPr>
                  </w:pPr>
                  <w:r>
                    <w:rPr>
                      <w:rFonts w:ascii="Times" w:hAnsi="Times" w:eastAsia="宋体"/>
                      <w:color w:val="000000"/>
                      <w:sz w:val="20"/>
                      <w:lang w:val="en-GB" w:eastAsia="en-US"/>
                    </w:rPr>
                    <w:t>CRI or SSBRI #1</w:t>
                  </w:r>
                </w:p>
              </w:tc>
            </w:tr>
            <w:tr>
              <w:tblPrEx>
                <w:tblCellMar>
                  <w:top w:w="0" w:type="dxa"/>
                  <w:left w:w="0" w:type="dxa"/>
                  <w:bottom w:w="0" w:type="dxa"/>
                  <w:right w:w="0" w:type="dxa"/>
                </w:tblCellMar>
              </w:tblPrEx>
              <w:trPr>
                <w:trHeight w:val="253"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hd w:val="clear" w:color="auto" w:fill="FFFFFF"/>
                    <w:adjustRightInd w:val="0"/>
                    <w:snapToGrid w:val="0"/>
                    <w:jc w:val="center"/>
                    <w:rPr>
                      <w:rFonts w:ascii="Times" w:hAnsi="Times" w:eastAsia="宋体"/>
                      <w:color w:val="000000"/>
                      <w:sz w:val="20"/>
                      <w:lang w:val="en-GB" w:eastAsia="en-US"/>
                    </w:rPr>
                  </w:pPr>
                  <w:r>
                    <w:rPr>
                      <w:rFonts w:ascii="Times" w:hAnsi="Times" w:eastAsia="宋体"/>
                      <w:color w:val="000000"/>
                      <w:sz w:val="20"/>
                      <w:lang w:val="en-GB" w:eastAsia="en-US"/>
                    </w:rPr>
                    <w:t>CRI or SSBRI #2</w:t>
                  </w:r>
                </w:p>
              </w:tc>
            </w:tr>
            <w:tr>
              <w:tblPrEx>
                <w:tblCellMar>
                  <w:top w:w="0" w:type="dxa"/>
                  <w:left w:w="0" w:type="dxa"/>
                  <w:bottom w:w="0" w:type="dxa"/>
                  <w:right w:w="0" w:type="dxa"/>
                </w:tblCellMar>
              </w:tblPrEx>
              <w:trPr>
                <w:trHeight w:val="241"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hd w:val="clear" w:color="auto" w:fill="FFFFFF"/>
                    <w:adjustRightInd w:val="0"/>
                    <w:snapToGrid w:val="0"/>
                    <w:ind w:left="730" w:leftChars="223" w:hanging="284" w:hangingChars="142"/>
                    <w:jc w:val="center"/>
                    <w:rPr>
                      <w:rFonts w:ascii="Times" w:hAnsi="Times" w:eastAsia="宋体"/>
                      <w:color w:val="000000"/>
                      <w:sz w:val="20"/>
                      <w:lang w:val="en-GB" w:eastAsia="en-US"/>
                    </w:rPr>
                  </w:pPr>
                  <w:r>
                    <w:rPr>
                      <w:rFonts w:ascii="Times" w:hAnsi="Times" w:eastAsia="宋体"/>
                      <w:color w:val="000000"/>
                      <w:sz w:val="20"/>
                      <w:lang w:val="en-GB" w:eastAsia="en-US"/>
                    </w:rPr>
                    <w:t>…</w:t>
                  </w:r>
                </w:p>
              </w:tc>
            </w:tr>
            <w:tr>
              <w:tblPrEx>
                <w:tblCellMar>
                  <w:top w:w="0" w:type="dxa"/>
                  <w:left w:w="0" w:type="dxa"/>
                  <w:bottom w:w="0" w:type="dxa"/>
                  <w:right w:w="0" w:type="dxa"/>
                </w:tblCellMar>
              </w:tblPrEx>
              <w:trPr>
                <w:trHeight w:val="241"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hd w:val="clear" w:color="auto" w:fill="FFFFFF"/>
                    <w:adjustRightInd w:val="0"/>
                    <w:snapToGrid w:val="0"/>
                    <w:jc w:val="center"/>
                    <w:rPr>
                      <w:rFonts w:ascii="Times" w:hAnsi="Times" w:eastAsia="宋体"/>
                      <w:color w:val="000000"/>
                      <w:sz w:val="20"/>
                      <w:lang w:val="en-GB" w:eastAsia="en-US"/>
                    </w:rPr>
                  </w:pPr>
                  <w:r>
                    <w:rPr>
                      <w:rFonts w:ascii="Times" w:hAnsi="Times" w:eastAsia="宋体"/>
                      <w:color w:val="000000"/>
                      <w:sz w:val="20"/>
                      <w:lang w:val="en-GB" w:eastAsia="en-US"/>
                    </w:rPr>
                    <w:t>CRI or SSBRI #K</w:t>
                  </w:r>
                </w:p>
              </w:tc>
            </w:tr>
            <w:tr>
              <w:tblPrEx>
                <w:tblCellMar>
                  <w:top w:w="0" w:type="dxa"/>
                  <w:left w:w="0" w:type="dxa"/>
                  <w:bottom w:w="0" w:type="dxa"/>
                  <w:right w:w="0" w:type="dxa"/>
                </w:tblCellMar>
              </w:tblPrEx>
              <w:trPr>
                <w:trHeight w:val="241"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hd w:val="clear" w:color="auto" w:fill="FFFFFF"/>
                    <w:adjustRightInd w:val="0"/>
                    <w:snapToGrid w:val="0"/>
                    <w:jc w:val="center"/>
                    <w:rPr>
                      <w:rFonts w:ascii="Times" w:hAnsi="Times" w:eastAsia="宋体"/>
                      <w:color w:val="000000"/>
                      <w:sz w:val="20"/>
                      <w:lang w:val="en-GB" w:eastAsia="en-US"/>
                    </w:rPr>
                  </w:pPr>
                  <w:r>
                    <w:rPr>
                      <w:rFonts w:ascii="Times" w:hAnsi="Times" w:eastAsia="宋体"/>
                      <w:color w:val="000000"/>
                      <w:sz w:val="20"/>
                      <w:lang w:val="en-GB" w:eastAsia="en-US"/>
                    </w:rPr>
                    <w:t>RSRP #1</w:t>
                  </w:r>
                </w:p>
              </w:tc>
            </w:tr>
            <w:tr>
              <w:tblPrEx>
                <w:tblCellMar>
                  <w:top w:w="0" w:type="dxa"/>
                  <w:left w:w="0" w:type="dxa"/>
                  <w:bottom w:w="0" w:type="dxa"/>
                  <w:right w:w="0" w:type="dxa"/>
                </w:tblCellMar>
              </w:tblPrEx>
              <w:trPr>
                <w:trHeight w:val="253"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hd w:val="clear" w:color="auto" w:fill="FFFFFF"/>
                    <w:adjustRightInd w:val="0"/>
                    <w:snapToGrid w:val="0"/>
                    <w:jc w:val="center"/>
                    <w:rPr>
                      <w:rFonts w:ascii="Times" w:hAnsi="Times" w:eastAsia="宋体"/>
                      <w:color w:val="000000"/>
                      <w:sz w:val="20"/>
                      <w:lang w:val="en-GB" w:eastAsia="en-US"/>
                    </w:rPr>
                  </w:pPr>
                  <w:r>
                    <w:rPr>
                      <w:rFonts w:ascii="Times" w:hAnsi="Times" w:eastAsia="宋体"/>
                      <w:sz w:val="20"/>
                      <w:lang w:val="en-GB"/>
                    </w:rPr>
                    <w:t>differential</w:t>
                  </w:r>
                  <w:r>
                    <w:rPr>
                      <w:rFonts w:ascii="Times" w:hAnsi="Times" w:eastAsia="宋体"/>
                      <w:color w:val="000000"/>
                      <w:sz w:val="20"/>
                      <w:lang w:val="en-GB" w:eastAsia="en-US"/>
                    </w:rPr>
                    <w:t xml:space="preserve"> RSRP #2</w:t>
                  </w:r>
                </w:p>
              </w:tc>
            </w:tr>
            <w:tr>
              <w:tblPrEx>
                <w:tblCellMar>
                  <w:top w:w="0" w:type="dxa"/>
                  <w:left w:w="0" w:type="dxa"/>
                  <w:bottom w:w="0" w:type="dxa"/>
                  <w:right w:w="0" w:type="dxa"/>
                </w:tblCellMar>
              </w:tblPrEx>
              <w:trPr>
                <w:trHeight w:val="241"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hd w:val="clear" w:color="auto" w:fill="FFFFFF"/>
                    <w:adjustRightInd w:val="0"/>
                    <w:snapToGrid w:val="0"/>
                    <w:ind w:left="730" w:leftChars="223" w:hanging="284" w:hangingChars="142"/>
                    <w:jc w:val="center"/>
                    <w:rPr>
                      <w:rFonts w:ascii="Times" w:hAnsi="Times" w:eastAsia="宋体"/>
                      <w:color w:val="000000"/>
                      <w:sz w:val="20"/>
                      <w:lang w:val="en-GB" w:eastAsia="en-US"/>
                    </w:rPr>
                  </w:pPr>
                  <w:r>
                    <w:rPr>
                      <w:rFonts w:ascii="Times" w:hAnsi="Times" w:eastAsia="宋体"/>
                      <w:color w:val="000000"/>
                      <w:sz w:val="20"/>
                      <w:lang w:val="en-GB" w:eastAsia="en-US"/>
                    </w:rPr>
                    <w:t>…</w:t>
                  </w:r>
                </w:p>
              </w:tc>
            </w:tr>
            <w:tr>
              <w:tblPrEx>
                <w:tblCellMar>
                  <w:top w:w="0" w:type="dxa"/>
                  <w:left w:w="0" w:type="dxa"/>
                  <w:bottom w:w="0" w:type="dxa"/>
                  <w:right w:w="0" w:type="dxa"/>
                </w:tblCellMar>
              </w:tblPrEx>
              <w:trPr>
                <w:trHeight w:val="241"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hd w:val="clear" w:color="auto" w:fill="FFFFFF"/>
                    <w:adjustRightInd w:val="0"/>
                    <w:snapToGrid w:val="0"/>
                    <w:jc w:val="center"/>
                    <w:rPr>
                      <w:rFonts w:ascii="Times" w:hAnsi="Times" w:eastAsia="宋体"/>
                      <w:color w:val="000000"/>
                      <w:sz w:val="20"/>
                      <w:lang w:val="en-GB" w:eastAsia="en-US"/>
                    </w:rPr>
                  </w:pPr>
                  <w:r>
                    <w:rPr>
                      <w:rFonts w:ascii="Times" w:hAnsi="Times" w:eastAsia="宋体"/>
                      <w:sz w:val="20"/>
                      <w:lang w:val="en-GB"/>
                    </w:rPr>
                    <w:t>differential</w:t>
                  </w:r>
                  <w:r>
                    <w:rPr>
                      <w:rFonts w:ascii="Times" w:hAnsi="Times" w:eastAsia="宋体"/>
                      <w:color w:val="000000"/>
                      <w:sz w:val="20"/>
                      <w:lang w:val="en-GB" w:eastAsia="en-US"/>
                    </w:rPr>
                    <w:t xml:space="preserve"> RSRP #K</w:t>
                  </w:r>
                </w:p>
              </w:tc>
            </w:tr>
          </w:tbl>
          <w:p>
            <w:pPr>
              <w:numPr>
                <w:ilvl w:val="0"/>
                <w:numId w:val="11"/>
              </w:numPr>
              <w:overflowPunct w:val="0"/>
              <w:autoSpaceDE w:val="0"/>
              <w:autoSpaceDN w:val="0"/>
              <w:adjustRightInd w:val="0"/>
              <w:spacing w:after="0" w:line="278" w:lineRule="auto"/>
              <w:textAlignment w:val="baseline"/>
              <w:rPr>
                <w:rFonts w:ascii="Times" w:hAnsi="Times" w:eastAsia="宋体"/>
                <w:sz w:val="20"/>
                <w:lang w:val="en-GB"/>
              </w:rPr>
            </w:pPr>
            <w:r>
              <w:rPr>
                <w:rFonts w:ascii="Times" w:hAnsi="Times" w:eastAsia="宋体"/>
                <w:sz w:val="20"/>
                <w:lang w:val="en-GB"/>
              </w:rPr>
              <w:t>CRI or SSBRI #k is mapped to RSRP #k, where k = 1,2</w:t>
            </w:r>
            <w:r>
              <w:rPr>
                <w:rFonts w:hint="eastAsia" w:ascii="Times" w:hAnsi="Times" w:eastAsia="宋体"/>
                <w:sz w:val="20"/>
                <w:lang w:val="en-GB"/>
              </w:rPr>
              <w:t>,</w:t>
            </w:r>
            <w:r>
              <w:rPr>
                <w:rFonts w:ascii="Times" w:hAnsi="Times" w:eastAsia="宋体"/>
                <w:sz w:val="20"/>
                <w:lang w:val="en-GB"/>
              </w:rPr>
              <w:t>…,K</w:t>
            </w:r>
          </w:p>
          <w:p>
            <w:pPr>
              <w:numPr>
                <w:ilvl w:val="0"/>
                <w:numId w:val="11"/>
              </w:numPr>
              <w:overflowPunct w:val="0"/>
              <w:autoSpaceDE w:val="0"/>
              <w:autoSpaceDN w:val="0"/>
              <w:adjustRightInd w:val="0"/>
              <w:spacing w:after="0" w:line="278" w:lineRule="auto"/>
              <w:textAlignment w:val="baseline"/>
              <w:rPr>
                <w:rFonts w:ascii="Times" w:hAnsi="Times" w:eastAsia="宋体"/>
                <w:sz w:val="20"/>
                <w:lang w:val="en-GB"/>
              </w:rPr>
            </w:pPr>
            <w:r>
              <w:rPr>
                <w:rFonts w:ascii="Times" w:hAnsi="Times" w:eastAsia="宋体"/>
                <w:sz w:val="20"/>
                <w:lang w:val="en-GB"/>
              </w:rPr>
              <w:t xml:space="preserve">RSRP #1 is absolute </w:t>
            </w:r>
            <w:r>
              <w:rPr>
                <w:rFonts w:hint="eastAsia" w:ascii="Times" w:hAnsi="Times" w:eastAsia="宋体"/>
                <w:sz w:val="20"/>
                <w:lang w:val="en-GB"/>
              </w:rPr>
              <w:t xml:space="preserve">predicted </w:t>
            </w:r>
            <w:r>
              <w:rPr>
                <w:rFonts w:ascii="Times" w:hAnsi="Times" w:eastAsia="宋体"/>
                <w:sz w:val="20"/>
                <w:lang w:val="en-GB"/>
              </w:rPr>
              <w:t>RSRP</w:t>
            </w:r>
          </w:p>
          <w:p>
            <w:pPr>
              <w:jc w:val="both"/>
              <w:rPr>
                <w:rFonts w:hint="default"/>
                <w:vertAlign w:val="baseline"/>
                <w:lang w:val="en-US" w:eastAsia="zh-CN"/>
              </w:rPr>
            </w:pPr>
            <w:r>
              <w:rPr>
                <w:rFonts w:hint="eastAsia" w:ascii="Times" w:hAnsi="Times" w:eastAsia="宋体"/>
                <w:sz w:val="20"/>
                <w:lang w:val="en-GB"/>
              </w:rPr>
              <w:t>D</w:t>
            </w:r>
            <w:r>
              <w:rPr>
                <w:rFonts w:ascii="Times" w:hAnsi="Times" w:eastAsia="宋体"/>
                <w:sz w:val="20"/>
                <w:lang w:val="en-GB"/>
              </w:rPr>
              <w:t xml:space="preserve">ifferential RSRP #2~#K are differential </w:t>
            </w:r>
            <w:r>
              <w:rPr>
                <w:rFonts w:hint="eastAsia" w:ascii="Times" w:hAnsi="Times" w:eastAsia="宋体"/>
                <w:sz w:val="20"/>
                <w:lang w:val="en-GB"/>
              </w:rPr>
              <w:t xml:space="preserve">predicted </w:t>
            </w:r>
            <w:r>
              <w:rPr>
                <w:rFonts w:ascii="Times" w:hAnsi="Times" w:eastAsia="宋体"/>
                <w:sz w:val="20"/>
                <w:lang w:val="en-GB"/>
              </w:rPr>
              <w:t>RSRP with reference to the largest predicted RSRP corresponding to CRI or SSBRI #1</w:t>
            </w:r>
          </w:p>
        </w:tc>
      </w:tr>
    </w:tbl>
    <w:p>
      <w:pPr>
        <w:jc w:val="both"/>
        <w:rPr>
          <w:rFonts w:hint="eastAsia"/>
          <w:lang w:val="en-US" w:eastAsia="zh-CN"/>
        </w:rPr>
      </w:pPr>
      <w:r>
        <w:rPr>
          <w:rFonts w:hint="eastAsia"/>
          <w:lang w:val="en-US" w:eastAsia="zh-CN"/>
        </w:rPr>
        <w:t>We observe that RSRP#1 is absolute predicted RSRP, the remaining RSRP#2~#K are differential predicted RSRP with reference to the largest predicted RSRP, which is similar to R15 CSI reporting defined in RAN1 spec:</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14" w:type="dxa"/>
          </w:tcPr>
          <w:p>
            <w:pPr>
              <w:jc w:val="both"/>
              <w:rPr>
                <w:rFonts w:hint="default"/>
                <w:vertAlign w:val="baseline"/>
                <w:lang w:val="en-US" w:eastAsia="zh-CN"/>
              </w:rPr>
            </w:pPr>
            <w:r>
              <w:rPr>
                <w:sz w:val="20"/>
                <w:szCs w:val="20"/>
                <w:lang w:val="en-US"/>
              </w:rPr>
              <w:t>For L1-RSRP reporting, if the higher layer parameter nrofReportedRS in CSI-ReportConfig is configured to be one, the reported L1-RSRP value is defined by a 7-bit value in the range [-140, -44] dBm with 1dB step size. If the higher layer parameter nrofReportedRS is configured to be larger than one, or if the higher layer parameter groupBasedBeamReporting is configured as 'enabled', the UE shall use differential L1-RSRP based reporting, where the largest measured value of L1-RSRP is quantized to a 7-bit value in the range [-140, -44] dBm with 1dB step size, and the differential L1-RSRP is quantized to a 4-bit value. The differential L1-RSRP value is computed with 2 dB step size with reference to the largest measured L1-RSRP value which is part of the same L1-RSRP reporting instance.</w:t>
            </w:r>
          </w:p>
        </w:tc>
      </w:tr>
    </w:tbl>
    <w:p>
      <w:pPr>
        <w:jc w:val="both"/>
        <w:rPr>
          <w:rFonts w:hint="default"/>
          <w:lang w:val="en-US" w:eastAsia="zh-CN"/>
        </w:rPr>
      </w:pPr>
      <w:r>
        <w:rPr>
          <w:rFonts w:hint="eastAsia"/>
          <w:lang w:val="en-US" w:eastAsia="zh-CN"/>
        </w:rPr>
        <w:t>If we follow the same manner as RAN1, we have to admit that the absolute RSRP format shall only used for Top-1 predicted beams which can reduce the signaling overhead.</w:t>
      </w:r>
    </w:p>
    <w:p>
      <w:pPr>
        <w:jc w:val="both"/>
        <w:rPr>
          <w:rFonts w:hint="eastAsia"/>
          <w:lang w:val="en-US" w:eastAsia="zh-CN"/>
        </w:rPr>
      </w:pPr>
      <w:r>
        <w:rPr>
          <w:rFonts w:hint="eastAsia"/>
          <w:lang w:val="en-US" w:eastAsia="zh-CN"/>
        </w:rPr>
        <w:t>Nevertheless, RAN4 shall study the accuracy requirements based on RAN4</w:t>
      </w:r>
      <w:r>
        <w:rPr>
          <w:rFonts w:hint="default"/>
          <w:lang w:val="en-US" w:eastAsia="zh-CN"/>
        </w:rPr>
        <w:t>’</w:t>
      </w:r>
      <w:r>
        <w:rPr>
          <w:rFonts w:hint="eastAsia"/>
          <w:lang w:val="en-US" w:eastAsia="zh-CN"/>
        </w:rPr>
        <w:t>s spec. In current RAN4 spec, we do not observe the limitation on absolute RSRP accuracy:</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jc w:val="both"/>
              <w:rPr>
                <w:rFonts w:hint="default"/>
                <w:vertAlign w:val="baseline"/>
                <w:lang w:val="en-US" w:eastAsia="zh-CN"/>
              </w:rPr>
            </w:pPr>
            <w:r>
              <w:t xml:space="preserve">Unless otherwise specified, the requirements for absolute and relative SSB based L1-RSRP accuracy in this clause </w:t>
            </w:r>
            <w:r>
              <w:rPr>
                <w:highlight w:val="yellow"/>
              </w:rPr>
              <w:t>apply to all SSBs of the serving cell configured for L1-RSRP measurement and all SSBs of cell(s) with different PCI from serving cell configured for L1-RSRP measurement in FR1</w:t>
            </w:r>
            <w:r>
              <w:t>.</w:t>
            </w:r>
          </w:p>
        </w:tc>
      </w:tr>
    </w:tbl>
    <w:p>
      <w:pPr>
        <w:jc w:val="both"/>
        <w:rPr>
          <w:rFonts w:hint="eastAsia"/>
          <w:lang w:val="en-US" w:eastAsia="zh-CN"/>
        </w:rPr>
      </w:pPr>
      <w:r>
        <w:rPr>
          <w:rFonts w:hint="eastAsia"/>
          <w:lang w:val="en-US" w:eastAsia="zh-CN"/>
        </w:rPr>
        <w:t xml:space="preserve">We could see the above definition and applicability, which the absolute SSB based L1-RSRP accuracy in this part apply to all SSBs not only to the largest measured SSB. If absolute RSRP accuracy only applies to Top-1 predicted beam like R15 CSI reporting, there is no doubt that the relative ranking can be confirmed. But only absolute RSRP accuracy can reflect the real ranking and real measurements, i.e. Top-1 predicted beam 1 is -90dB (-89dB actually), Top-2 predicted beam 2 is -92dB (-85dB actually), the ranking seems correct if we only focus on relative ranking, but the absolute RSRP accuracy has 7dB error on the predicted beam except Top-1 predicted beam. Consequently, in order to get a comprehensive guarantee on the AI/ML model performance, RAN4 shall not consider what RAN1 has decided but rather focus on how RAN4 should proceed. </w:t>
      </w:r>
    </w:p>
    <w:p>
      <w:pPr>
        <w:jc w:val="both"/>
        <w:rPr>
          <w:rFonts w:hint="eastAsia"/>
          <w:lang w:val="en-US" w:eastAsia="zh-CN"/>
        </w:rPr>
      </w:pPr>
      <w:r>
        <w:rPr>
          <w:rFonts w:hint="eastAsia"/>
          <w:lang w:val="en-US" w:eastAsia="zh-CN"/>
        </w:rPr>
        <w:t xml:space="preserve">Overall, we prefer to considering absolute RSRP accuracy requirement applies to Top-1 of predicted beams and other beams.  </w:t>
      </w:r>
    </w:p>
    <w:p>
      <w:pPr>
        <w:jc w:val="both"/>
        <w:rPr>
          <w:rFonts w:hint="eastAsia"/>
          <w:b/>
          <w:bCs/>
          <w:lang w:val="en-US" w:eastAsia="zh-CN"/>
        </w:rPr>
      </w:pPr>
      <w:r>
        <w:rPr>
          <w:rFonts w:hint="eastAsia"/>
          <w:b/>
          <w:bCs/>
          <w:lang w:val="en-US" w:eastAsia="zh-CN"/>
        </w:rPr>
        <w:t>Observation 5: In current RAN4 spec, we do not observe the limitation on absolute RSRP accuracy.</w:t>
      </w:r>
    </w:p>
    <w:p>
      <w:pPr>
        <w:jc w:val="both"/>
        <w:rPr>
          <w:rFonts w:hint="default"/>
          <w:b/>
          <w:bCs/>
          <w:lang w:val="en-US" w:eastAsia="zh-CN"/>
        </w:rPr>
      </w:pPr>
      <w:r>
        <w:rPr>
          <w:rFonts w:hint="eastAsia"/>
          <w:b/>
          <w:bCs/>
          <w:lang w:val="en-US" w:eastAsia="zh-CN"/>
        </w:rPr>
        <w:t>Proposal 3: RAN4 shall consider absolute RSRP accuracy requirement applying to Top-1 of predicted beams and other beams.</w:t>
      </w:r>
    </w:p>
    <w:p>
      <w:pPr>
        <w:pStyle w:val="4"/>
        <w:spacing w:before="120" w:after="120" w:line="240" w:lineRule="auto"/>
        <w:rPr>
          <w:rFonts w:hint="eastAsia"/>
          <w:lang w:val="en-US" w:eastAsia="zh-CN"/>
        </w:rPr>
      </w:pPr>
      <w:r>
        <w:rPr>
          <w:rFonts w:hint="eastAsia"/>
          <w:sz w:val="20"/>
          <w:szCs w:val="20"/>
          <w:lang w:val="en-US" w:eastAsia="zh-CN"/>
        </w:rPr>
        <w:t>2.1.2 Relative RSRP accuracy</w:t>
      </w:r>
    </w:p>
    <w:p>
      <w:pPr>
        <w:jc w:val="both"/>
        <w:rPr>
          <w:rFonts w:hint="eastAsia"/>
          <w:lang w:val="en-US" w:eastAsia="zh-CN"/>
        </w:rPr>
      </w:pPr>
      <w:r>
        <w:rPr>
          <w:rFonts w:hint="eastAsia"/>
          <w:lang w:val="en-US" w:eastAsia="zh-CN"/>
        </w:rPr>
        <w:t>In the last meeting, RAN4 has eventually reached the agreement on defining the relative RSRP accuracy requirements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spacing w:after="120"/>
              <w:rPr>
                <w:b/>
                <w:bCs/>
                <w:szCs w:val="24"/>
                <w:lang w:eastAsia="zh-CN"/>
              </w:rPr>
            </w:pPr>
            <w:r>
              <w:rPr>
                <w:rFonts w:hint="eastAsia"/>
                <w:b/>
                <w:bCs/>
                <w:szCs w:val="24"/>
                <w:lang w:eastAsia="zh-CN"/>
              </w:rPr>
              <w:t>A</w:t>
            </w:r>
            <w:r>
              <w:rPr>
                <w:b/>
                <w:bCs/>
                <w:szCs w:val="24"/>
                <w:lang w:eastAsia="zh-CN"/>
              </w:rPr>
              <w:t>greement:</w:t>
            </w:r>
          </w:p>
          <w:p>
            <w:pPr>
              <w:pStyle w:val="31"/>
              <w:numPr>
                <w:ilvl w:val="0"/>
                <w:numId w:val="12"/>
              </w:numPr>
              <w:overflowPunct w:val="0"/>
              <w:autoSpaceDE w:val="0"/>
              <w:autoSpaceDN w:val="0"/>
              <w:adjustRightInd w:val="0"/>
              <w:spacing w:after="120"/>
              <w:ind w:left="426" w:firstLineChars="0"/>
              <w:textAlignment w:val="baseline"/>
              <w:rPr>
                <w:szCs w:val="24"/>
                <w:lang w:eastAsia="zh-CN"/>
              </w:rPr>
            </w:pPr>
            <w:r>
              <w:rPr>
                <w:szCs w:val="24"/>
                <w:lang w:eastAsia="zh-CN"/>
              </w:rPr>
              <w:t>RAN4 to use the follow as baseline for further discussions, if the relative RSRP accuracy requirement is defined</w:t>
            </w:r>
          </w:p>
          <w:p>
            <w:pPr>
              <w:pStyle w:val="31"/>
              <w:numPr>
                <w:ilvl w:val="1"/>
                <w:numId w:val="12"/>
              </w:numPr>
              <w:overflowPunct w:val="0"/>
              <w:autoSpaceDE w:val="0"/>
              <w:autoSpaceDN w:val="0"/>
              <w:adjustRightInd w:val="0"/>
              <w:spacing w:after="120"/>
              <w:ind w:left="851" w:firstLineChars="0"/>
              <w:textAlignment w:val="baseline"/>
              <w:rPr>
                <w:szCs w:val="24"/>
                <w:lang w:eastAsia="zh-CN"/>
              </w:rPr>
            </w:pPr>
            <w:r>
              <w:rPr>
                <w:rFonts w:eastAsia="游明朝"/>
                <w:szCs w:val="24"/>
                <w:lang w:eastAsia="ja-JP"/>
              </w:rPr>
              <w:t>Relative RSRP accuracy for reported beams during inference reporting = (predicted L1-RSRP of beam index i - reported L1-RSRP of beam index n) -  (ground truth of L1-RSRP of beam index i - ground truth of L1-RSRP of beam index n), [where the beam index n owns the largest reported value].</w:t>
            </w:r>
          </w:p>
          <w:p>
            <w:pPr>
              <w:pStyle w:val="31"/>
              <w:numPr>
                <w:ilvl w:val="2"/>
                <w:numId w:val="12"/>
              </w:numPr>
              <w:overflowPunct w:val="0"/>
              <w:autoSpaceDE w:val="0"/>
              <w:autoSpaceDN w:val="0"/>
              <w:adjustRightInd w:val="0"/>
              <w:spacing w:after="120"/>
              <w:ind w:left="1276" w:firstLineChars="0"/>
              <w:textAlignment w:val="baseline"/>
              <w:rPr>
                <w:szCs w:val="24"/>
                <w:lang w:eastAsia="zh-CN"/>
              </w:rPr>
            </w:pPr>
            <w:r>
              <w:rPr>
                <w:rFonts w:hint="eastAsia" w:eastAsia="游明朝"/>
                <w:szCs w:val="24"/>
                <w:lang w:eastAsia="ja-JP"/>
              </w:rPr>
              <w:t>R</w:t>
            </w:r>
            <w:r>
              <w:rPr>
                <w:rFonts w:eastAsia="游明朝"/>
                <w:szCs w:val="24"/>
                <w:lang w:eastAsia="ja-JP"/>
              </w:rPr>
              <w:t xml:space="preserve">eported L1-RSRP can be predicted, </w:t>
            </w:r>
          </w:p>
          <w:p>
            <w:pPr>
              <w:pStyle w:val="31"/>
              <w:numPr>
                <w:ilvl w:val="2"/>
                <w:numId w:val="12"/>
              </w:numPr>
              <w:overflowPunct w:val="0"/>
              <w:autoSpaceDE w:val="0"/>
              <w:autoSpaceDN w:val="0"/>
              <w:adjustRightInd w:val="0"/>
              <w:spacing w:after="120"/>
              <w:ind w:left="1276" w:firstLineChars="0"/>
              <w:textAlignment w:val="baseline"/>
              <w:rPr>
                <w:szCs w:val="24"/>
                <w:lang w:eastAsia="zh-CN"/>
              </w:rPr>
            </w:pPr>
            <w:r>
              <w:rPr>
                <w:rFonts w:eastAsia="游明朝"/>
                <w:szCs w:val="24"/>
                <w:lang w:eastAsia="ja-JP"/>
              </w:rPr>
              <w:t>FFS whether reported L1-RSRP can be measured RSRP</w:t>
            </w:r>
          </w:p>
          <w:p>
            <w:pPr>
              <w:pStyle w:val="31"/>
              <w:numPr>
                <w:ilvl w:val="1"/>
                <w:numId w:val="12"/>
              </w:numPr>
              <w:overflowPunct w:val="0"/>
              <w:autoSpaceDE w:val="0"/>
              <w:autoSpaceDN w:val="0"/>
              <w:adjustRightInd w:val="0"/>
              <w:spacing w:after="120"/>
              <w:ind w:left="851" w:firstLineChars="0"/>
              <w:textAlignment w:val="baseline"/>
              <w:rPr>
                <w:rFonts w:hint="default"/>
                <w:vertAlign w:val="baseline"/>
                <w:lang w:val="en-US" w:eastAsia="zh-CN"/>
              </w:rPr>
            </w:pPr>
            <w:r>
              <w:rPr>
                <w:rFonts w:hint="eastAsia" w:eastAsia="游明朝"/>
                <w:szCs w:val="24"/>
                <w:lang w:eastAsia="zh-CN"/>
              </w:rPr>
              <w:t>R</w:t>
            </w:r>
            <w:r>
              <w:rPr>
                <w:rFonts w:eastAsia="游明朝"/>
                <w:szCs w:val="24"/>
                <w:lang w:eastAsia="zh-CN"/>
              </w:rPr>
              <w:t>elative RSRP accuracy requirements apply for Case 1, and FFS on whether it can apply for Case 2</w:t>
            </w:r>
          </w:p>
        </w:tc>
      </w:tr>
    </w:tbl>
    <w:p>
      <w:pPr>
        <w:jc w:val="both"/>
        <w:rPr>
          <w:rFonts w:hint="eastAsia"/>
          <w:lang w:val="en-US" w:eastAsia="zh-CN"/>
        </w:rPr>
      </w:pPr>
      <w:r>
        <w:rPr>
          <w:rFonts w:hint="eastAsia"/>
          <w:lang w:val="en-US" w:eastAsia="zh-CN"/>
        </w:rPr>
        <w:t>We know that this metric refers to AI mobility, the relative RSRP accuracy in AI mobility is cell level but in AI beam is the beam level. The whole principle for defining relative RSRP accuracy is that the predicted L1-RSRP minus ground truth beams which is similar to legacy definition:</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14" w:type="dxa"/>
          </w:tcPr>
          <w:p>
            <w:pPr>
              <w:jc w:val="left"/>
              <w:rPr>
                <w:rFonts w:hint="eastAsia"/>
                <w:b/>
                <w:bCs/>
                <w:vertAlign w:val="baseline"/>
                <w:lang w:val="en-US" w:eastAsia="zh-CN"/>
              </w:rPr>
            </w:pPr>
            <w:r>
              <w:rPr>
                <w:rFonts w:hint="eastAsia"/>
                <w:b/>
                <w:bCs/>
                <w:vertAlign w:val="baseline"/>
                <w:lang w:val="en-US" w:eastAsia="zh-CN"/>
              </w:rPr>
              <w:t>Legacy including ICBM related:</w:t>
            </w:r>
          </w:p>
          <w:p>
            <w:pPr>
              <w:jc w:val="both"/>
              <w:rPr>
                <w:rFonts w:cs="v4.2.0"/>
              </w:rPr>
            </w:pPr>
            <w:r>
              <w:rPr>
                <w:rFonts w:cs="v4.2.0"/>
              </w:rPr>
              <w:t xml:space="preserve">The relative accuracy of </w:t>
            </w:r>
            <w:r>
              <w:rPr>
                <w:rFonts w:cs="v4.2.0"/>
                <w:lang w:eastAsia="zh-CN"/>
              </w:rPr>
              <w:t>SSB based L1-</w:t>
            </w:r>
            <w:r>
              <w:rPr>
                <w:rFonts w:cs="v4.2.0"/>
              </w:rPr>
              <w:t xml:space="preserve">RSRP is defined as the </w:t>
            </w:r>
            <w:r>
              <w:rPr>
                <w:rFonts w:cs="v4.2.0"/>
                <w:lang w:eastAsia="zh-CN"/>
              </w:rPr>
              <w:t>L1-</w:t>
            </w:r>
            <w:r>
              <w:rPr>
                <w:rFonts w:cs="v4.2.0"/>
              </w:rPr>
              <w:t xml:space="preserve">RSRP measured from one SSB compared to the </w:t>
            </w:r>
            <w:r>
              <w:rPr>
                <w:lang w:val="en-US"/>
              </w:rPr>
              <w:t xml:space="preserve">largest measured value of L1-RSRP among all SSBs of the cell </w:t>
            </w:r>
            <w:r>
              <w:rPr>
                <w:lang w:val="en-US" w:eastAsia="zh-CN"/>
              </w:rPr>
              <w:t>(serving cell or cell with different PCI from serving cell)</w:t>
            </w:r>
            <w:r>
              <w:rPr>
                <w:lang w:val="en-US"/>
              </w:rPr>
              <w:t xml:space="preserve"> on which UE performs L1-RSRP measurements</w:t>
            </w:r>
            <w:r>
              <w:rPr>
                <w:rFonts w:cs="v4.2.0"/>
              </w:rPr>
              <w:t>.</w:t>
            </w:r>
          </w:p>
          <w:p>
            <w:pPr>
              <w:jc w:val="left"/>
              <w:rPr>
                <w:rFonts w:hint="default"/>
                <w:vertAlign w:val="baseline"/>
                <w:lang w:val="en-US" w:eastAsia="zh-CN"/>
              </w:rPr>
            </w:pPr>
          </w:p>
          <w:p>
            <w:pPr>
              <w:jc w:val="left"/>
              <w:rPr>
                <w:rFonts w:hint="eastAsia"/>
                <w:b/>
                <w:bCs/>
                <w:vertAlign w:val="baseline"/>
                <w:lang w:val="en-US" w:eastAsia="zh-CN"/>
              </w:rPr>
            </w:pPr>
            <w:r>
              <w:rPr>
                <w:rFonts w:hint="eastAsia"/>
                <w:b/>
                <w:bCs/>
                <w:vertAlign w:val="baseline"/>
                <w:lang w:val="en-US" w:eastAsia="zh-CN"/>
              </w:rPr>
              <w:t>LTM related:</w:t>
            </w:r>
          </w:p>
          <w:p>
            <w:pPr>
              <w:jc w:val="both"/>
              <w:rPr>
                <w:rFonts w:hint="default"/>
                <w:vertAlign w:val="baseline"/>
                <w:lang w:val="en-US" w:eastAsia="zh-CN"/>
              </w:rPr>
            </w:pPr>
            <w:bookmarkStart w:id="1" w:name="_Hlk165295897"/>
            <w:r>
              <w:rPr>
                <w:rFonts w:cs="v4.2.0"/>
              </w:rPr>
              <w:t xml:space="preserve">The relative accuracy of </w:t>
            </w:r>
            <w:r>
              <w:rPr>
                <w:rFonts w:cs="v4.2.0"/>
                <w:lang w:eastAsia="zh-CN"/>
              </w:rPr>
              <w:t>SSB based L1-</w:t>
            </w:r>
            <w:r>
              <w:rPr>
                <w:rFonts w:cs="v4.2.0"/>
              </w:rPr>
              <w:t xml:space="preserve">RSRP is defined as the </w:t>
            </w:r>
            <w:r>
              <w:rPr>
                <w:rFonts w:cs="v4.2.0"/>
                <w:lang w:eastAsia="zh-CN"/>
              </w:rPr>
              <w:t>L1-</w:t>
            </w:r>
            <w:r>
              <w:rPr>
                <w:rFonts w:cs="v4.2.0"/>
              </w:rPr>
              <w:t xml:space="preserve">RSRP measured on one SSB </w:t>
            </w:r>
            <w:r>
              <w:rPr>
                <w:lang w:val="en-US"/>
              </w:rPr>
              <w:t xml:space="preserve">configured in </w:t>
            </w:r>
            <w:r>
              <w:rPr>
                <w:i/>
                <w:iCs/>
                <w:lang w:val="en-US"/>
              </w:rPr>
              <w:t>LTM-CSI-ResourceConfig</w:t>
            </w:r>
            <w:r>
              <w:rPr>
                <w:lang w:val="en-US"/>
              </w:rPr>
              <w:t xml:space="preserve"> </w:t>
            </w:r>
            <w:r>
              <w:rPr>
                <w:rFonts w:cs="v4.2.0"/>
              </w:rPr>
              <w:t xml:space="preserve">compared to the </w:t>
            </w:r>
            <w:r>
              <w:rPr>
                <w:lang w:val="en-US"/>
              </w:rPr>
              <w:t xml:space="preserve">L1-RSRP measured from another SSB configured in </w:t>
            </w:r>
            <w:r>
              <w:rPr>
                <w:i/>
                <w:iCs/>
                <w:lang w:val="en-US"/>
              </w:rPr>
              <w:t>LTM-CSI-ResourceConfig</w:t>
            </w:r>
            <w:r>
              <w:rPr>
                <w:lang w:val="en-US"/>
              </w:rPr>
              <w:t xml:space="preserve"> from the cell(s) on the same frequency in FR2</w:t>
            </w:r>
            <w:r>
              <w:rPr>
                <w:rFonts w:cs="v4.2.0"/>
              </w:rPr>
              <w:t>.</w:t>
            </w:r>
            <w:bookmarkEnd w:id="1"/>
          </w:p>
        </w:tc>
      </w:tr>
    </w:tbl>
    <w:p>
      <w:pPr>
        <w:jc w:val="both"/>
        <w:rPr>
          <w:rFonts w:hint="eastAsia"/>
          <w:lang w:val="en-US" w:eastAsia="zh-CN"/>
        </w:rPr>
      </w:pPr>
      <w:r>
        <w:rPr>
          <w:rFonts w:hint="eastAsia"/>
          <w:lang w:val="en-US" w:eastAsia="zh-CN"/>
        </w:rPr>
        <w:t>From our perspective, the reported L1-RSRP shall be predicted RSRP not the measured RSRP. If the reported L1-RSRP is reported measured RSRP, this components will disappear based on current formulation which is not reasonable. Consequently, the reported L1-RSRP shall be reported predicted L1-RSRP not the measured RSRP.</w:t>
      </w:r>
    </w:p>
    <w:p>
      <w:pPr>
        <w:jc w:val="both"/>
        <w:rPr>
          <w:rFonts w:hint="eastAsia"/>
          <w:b/>
          <w:bCs/>
          <w:lang w:val="en-US" w:eastAsia="zh-CN"/>
        </w:rPr>
      </w:pPr>
      <w:r>
        <w:rPr>
          <w:rFonts w:hint="eastAsia"/>
          <w:b/>
          <w:bCs/>
          <w:lang w:val="en-US" w:eastAsia="zh-CN"/>
        </w:rPr>
        <w:t xml:space="preserve">Observation 6: The whole principle for defining relative RSRP accuracy is that the predicted L1-RSRP minus ground truth beams which is similar to legacy definition. </w:t>
      </w:r>
    </w:p>
    <w:p>
      <w:pPr>
        <w:jc w:val="both"/>
        <w:rPr>
          <w:rFonts w:hint="eastAsia"/>
          <w:b/>
          <w:bCs/>
          <w:lang w:val="en-US" w:eastAsia="zh-CN"/>
        </w:rPr>
      </w:pPr>
      <w:r>
        <w:rPr>
          <w:rFonts w:hint="eastAsia"/>
          <w:b/>
          <w:bCs/>
          <w:lang w:val="en-US" w:eastAsia="zh-CN"/>
        </w:rPr>
        <w:t>Observation 7: If the reported L1-RSRP is reported measured RSRP, this components will disappear based on current formulation.</w:t>
      </w:r>
    </w:p>
    <w:p>
      <w:pPr>
        <w:jc w:val="both"/>
        <w:rPr>
          <w:rFonts w:hint="default"/>
          <w:b/>
          <w:bCs/>
          <w:lang w:val="en-US" w:eastAsia="zh-CN"/>
        </w:rPr>
      </w:pPr>
      <w:r>
        <w:rPr>
          <w:rFonts w:hint="eastAsia"/>
          <w:b/>
          <w:bCs/>
          <w:lang w:val="en-US" w:eastAsia="zh-CN"/>
        </w:rPr>
        <w:t>Proposal 4: The reported L1-RSRP shall be reported predicted L1-RSRP not the measured RSRP.</w:t>
      </w:r>
    </w:p>
    <w:p>
      <w:pPr>
        <w:pStyle w:val="4"/>
        <w:spacing w:before="120" w:after="120" w:line="240" w:lineRule="auto"/>
        <w:jc w:val="both"/>
        <w:rPr>
          <w:rFonts w:hint="default"/>
          <w:sz w:val="20"/>
          <w:szCs w:val="20"/>
          <w:lang w:val="en-US" w:eastAsia="zh-CN"/>
        </w:rPr>
      </w:pPr>
      <w:r>
        <w:rPr>
          <w:rFonts w:hint="eastAsia"/>
          <w:sz w:val="20"/>
          <w:szCs w:val="20"/>
          <w:lang w:val="en-US" w:eastAsia="zh-CN"/>
        </w:rPr>
        <w:t>2.1.3 Metrics/KPIs for beam ID prediction</w:t>
      </w:r>
    </w:p>
    <w:p>
      <w:pPr>
        <w:rPr>
          <w:rFonts w:hint="eastAsia"/>
          <w:lang w:val="en-US" w:eastAsia="zh-CN"/>
        </w:rPr>
      </w:pPr>
      <w:r>
        <w:rPr>
          <w:rFonts w:hint="eastAsia"/>
          <w:lang w:val="en-US" w:eastAsia="zh-CN"/>
        </w:rPr>
        <w:t>In the last meeting, we spent lots of time on discussion of beam prediction accuracy, the agreement could be seen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spacing w:after="120"/>
              <w:rPr>
                <w:b/>
                <w:bCs/>
                <w:iCs/>
                <w:lang w:eastAsia="zh-CN"/>
              </w:rPr>
            </w:pPr>
            <w:r>
              <w:rPr>
                <w:rFonts w:hint="eastAsia"/>
                <w:b/>
                <w:bCs/>
                <w:iCs/>
                <w:lang w:eastAsia="zh-CN"/>
              </w:rPr>
              <w:t>A</w:t>
            </w:r>
            <w:r>
              <w:rPr>
                <w:b/>
                <w:bCs/>
                <w:iCs/>
                <w:lang w:eastAsia="zh-CN"/>
              </w:rPr>
              <w:t>greement:</w:t>
            </w:r>
          </w:p>
          <w:p>
            <w:pPr>
              <w:pStyle w:val="31"/>
              <w:numPr>
                <w:ilvl w:val="0"/>
                <w:numId w:val="13"/>
              </w:numPr>
              <w:overflowPunct w:val="0"/>
              <w:autoSpaceDE w:val="0"/>
              <w:autoSpaceDN w:val="0"/>
              <w:adjustRightInd w:val="0"/>
              <w:ind w:firstLineChars="0"/>
              <w:textAlignment w:val="baseline"/>
              <w:rPr>
                <w:rFonts w:eastAsia="游明朝"/>
                <w:bCs/>
                <w:iCs/>
                <w:lang w:eastAsia="ja-JP"/>
              </w:rPr>
            </w:pPr>
            <w:r>
              <w:rPr>
                <w:bCs/>
                <w:lang w:eastAsia="ko-KR"/>
              </w:rPr>
              <w:t xml:space="preserve">Metrics/KPIs for </w:t>
            </w:r>
            <w:r>
              <w:rPr>
                <w:rFonts w:hint="eastAsia" w:eastAsia="游明朝"/>
                <w:bCs/>
                <w:lang w:eastAsia="ja-JP"/>
              </w:rPr>
              <w:t>beam ID prediction</w:t>
            </w:r>
            <w:r>
              <w:rPr>
                <w:rFonts w:eastAsia="游明朝"/>
                <w:bCs/>
                <w:lang w:eastAsia="ja-JP"/>
              </w:rPr>
              <w:t>, at least for the case if only beam ID is reported</w:t>
            </w:r>
            <w:r>
              <w:rPr>
                <w:rFonts w:eastAsia="游明朝"/>
                <w:bCs/>
                <w:iCs/>
                <w:lang w:eastAsia="ja-JP"/>
              </w:rPr>
              <w:t xml:space="preserve">: </w:t>
            </w:r>
          </w:p>
          <w:p>
            <w:pPr>
              <w:pStyle w:val="31"/>
              <w:ind w:left="420" w:firstLine="0" w:firstLineChars="0"/>
              <w:rPr>
                <w:rFonts w:eastAsia="游明朝"/>
                <w:iCs/>
                <w:lang w:eastAsia="ja-JP"/>
              </w:rPr>
            </w:pPr>
            <w:r>
              <w:rPr>
                <w:rFonts w:eastAsia="游明朝"/>
                <w:iCs/>
                <w:lang w:eastAsia="ja-JP"/>
              </w:rPr>
              <w:t xml:space="preserve">The successful rate for the correct prediction, </w:t>
            </w:r>
          </w:p>
          <w:p>
            <w:pPr>
              <w:pStyle w:val="31"/>
              <w:numPr>
                <w:ilvl w:val="1"/>
                <w:numId w:val="13"/>
              </w:numPr>
              <w:overflowPunct w:val="0"/>
              <w:autoSpaceDE w:val="0"/>
              <w:autoSpaceDN w:val="0"/>
              <w:adjustRightInd w:val="0"/>
              <w:ind w:firstLineChars="0"/>
              <w:textAlignment w:val="baseline"/>
              <w:rPr>
                <w:rFonts w:eastAsia="游明朝"/>
                <w:iCs/>
                <w:lang w:eastAsia="ja-JP"/>
              </w:rPr>
            </w:pPr>
            <w:r>
              <w:rPr>
                <w:rFonts w:eastAsia="游明朝"/>
                <w:iCs/>
                <w:lang w:eastAsia="ja-JP"/>
              </w:rPr>
              <w:t xml:space="preserve">The correct prediction is considered as maximum ground-truth RSRP among top-K predicted beams larger than or equal to the ground-truth RSRP of the strongest genie-aided beam(s) – x dB, </w:t>
            </w:r>
          </w:p>
          <w:p>
            <w:pPr>
              <w:pStyle w:val="31"/>
              <w:numPr>
                <w:ilvl w:val="1"/>
                <w:numId w:val="13"/>
              </w:numPr>
              <w:overflowPunct w:val="0"/>
              <w:autoSpaceDE w:val="0"/>
              <w:autoSpaceDN w:val="0"/>
              <w:adjustRightInd w:val="0"/>
              <w:ind w:firstLineChars="0"/>
              <w:textAlignment w:val="baseline"/>
              <w:rPr>
                <w:rFonts w:eastAsia="游明朝"/>
                <w:iCs/>
                <w:lang w:eastAsia="ja-JP"/>
              </w:rPr>
            </w:pPr>
            <w:r>
              <w:rPr>
                <w:rFonts w:eastAsia="游明朝"/>
                <w:iCs/>
                <w:lang w:eastAsia="ja-JP"/>
              </w:rPr>
              <w:t>FFS on top-N (N&lt;/=K) predicted beams have to be considered in the success rate evaluation</w:t>
            </w:r>
          </w:p>
          <w:p>
            <w:pPr>
              <w:pStyle w:val="31"/>
              <w:numPr>
                <w:ilvl w:val="2"/>
                <w:numId w:val="13"/>
              </w:numPr>
              <w:overflowPunct w:val="0"/>
              <w:autoSpaceDE w:val="0"/>
              <w:autoSpaceDN w:val="0"/>
              <w:adjustRightInd w:val="0"/>
              <w:ind w:firstLineChars="0"/>
              <w:textAlignment w:val="baseline"/>
              <w:rPr>
                <w:rFonts w:eastAsia="游明朝"/>
                <w:iCs/>
                <w:lang w:eastAsia="ja-JP"/>
              </w:rPr>
            </w:pPr>
            <w:r>
              <w:rPr>
                <w:rFonts w:hint="eastAsia" w:eastAsia="游明朝"/>
                <w:iCs/>
                <w:lang w:eastAsia="ja-JP"/>
              </w:rPr>
              <w:t>F</w:t>
            </w:r>
            <w:r>
              <w:rPr>
                <w:rFonts w:eastAsia="游明朝"/>
                <w:iCs/>
                <w:lang w:eastAsia="ja-JP"/>
              </w:rPr>
              <w:t>FS on N values</w:t>
            </w:r>
          </w:p>
          <w:p>
            <w:pPr>
              <w:pStyle w:val="31"/>
              <w:numPr>
                <w:ilvl w:val="1"/>
                <w:numId w:val="13"/>
              </w:numPr>
              <w:overflowPunct w:val="0"/>
              <w:autoSpaceDE w:val="0"/>
              <w:autoSpaceDN w:val="0"/>
              <w:adjustRightInd w:val="0"/>
              <w:ind w:firstLineChars="0"/>
              <w:textAlignment w:val="baseline"/>
              <w:rPr>
                <w:rFonts w:eastAsia="游明朝"/>
                <w:iCs/>
                <w:lang w:eastAsia="ja-JP"/>
              </w:rPr>
            </w:pPr>
            <w:r>
              <w:rPr>
                <w:rFonts w:hint="eastAsia" w:eastAsia="游明朝"/>
                <w:iCs/>
                <w:lang w:eastAsia="ja-JP"/>
              </w:rPr>
              <w:t>F</w:t>
            </w:r>
            <w:r>
              <w:rPr>
                <w:rFonts w:eastAsia="游明朝"/>
                <w:iCs/>
                <w:lang w:eastAsia="ja-JP"/>
              </w:rPr>
              <w:t>FS on x values</w:t>
            </w:r>
          </w:p>
          <w:p>
            <w:pPr>
              <w:rPr>
                <w:rFonts w:hint="eastAsia"/>
                <w:vertAlign w:val="baseline"/>
                <w:lang w:val="en-US" w:eastAsia="zh-CN"/>
              </w:rPr>
            </w:pPr>
            <w:r>
              <w:rPr>
                <w:rFonts w:hint="eastAsia" w:eastAsia="游明朝"/>
                <w:iCs/>
                <w:lang w:eastAsia="ja-JP"/>
              </w:rPr>
              <w:t>N</w:t>
            </w:r>
            <w:r>
              <w:rPr>
                <w:rFonts w:eastAsia="游明朝"/>
                <w:iCs/>
                <w:lang w:eastAsia="ja-JP"/>
              </w:rPr>
              <w:t>ote: if x=0 and N=1, it means Top-K/1 (%) : the percentage of "the Top-1 strongest beam is one of the Top-K predicted beams"</w:t>
            </w:r>
          </w:p>
        </w:tc>
      </w:tr>
    </w:tbl>
    <w:p>
      <w:pPr>
        <w:jc w:val="both"/>
        <w:rPr>
          <w:rFonts w:hint="eastAsia"/>
          <w:lang w:val="en-US" w:eastAsia="zh-CN"/>
        </w:rPr>
      </w:pPr>
      <w:r>
        <w:rPr>
          <w:rFonts w:hint="eastAsia"/>
          <w:lang w:val="en-US" w:eastAsia="zh-CN"/>
        </w:rPr>
        <w:t>We observe that modified option 3 is adopted. There are two options x is larger than 0 and x equals to 0, to my understanding, at least x equals to 0 shall be supported since it means Top-K/1(%) if x=0. Based on simulation results, we find that Top-1/1 does not work at all and this performance metric has already been precluded in last meeting. Top-K/1 is the relaxation of Top-1/1, UE vendors has extended margin on this performance metric and the prediction accuracy can be up to 97% even the measurement error has been added. Thus, we deem that at least x equals to 0 shall be considered. For x&gt;0, this shall be decided on simulation results. However, one thing shall be noticed that x shall not be too large. If the value of x is set relatively high, the performance metric will show some excellent results, making it easy for UE to pass the test and indirectly suggesting that AI performance is very good. But if the margin is set too large, the threshold for performance validation becomes low enough that any UE can pass the test, leading to the realization that AI</w:t>
      </w:r>
      <w:r>
        <w:rPr>
          <w:rFonts w:hint="default"/>
          <w:lang w:val="en-US" w:eastAsia="zh-CN"/>
        </w:rPr>
        <w:t>’</w:t>
      </w:r>
      <w:r>
        <w:rPr>
          <w:rFonts w:hint="eastAsia"/>
          <w:lang w:val="en-US" w:eastAsia="zh-CN"/>
        </w:rPr>
        <w:t>s predictive capabilities are actually not as good as legacy methods. This would be meaningless. Consequently, the value of x shall be considered carefully.</w:t>
      </w:r>
    </w:p>
    <w:p>
      <w:pPr>
        <w:jc w:val="both"/>
        <w:rPr>
          <w:rFonts w:hint="eastAsia"/>
          <w:b/>
          <w:bCs/>
          <w:lang w:val="en-US" w:eastAsia="zh-CN"/>
        </w:rPr>
      </w:pPr>
      <w:r>
        <w:rPr>
          <w:rFonts w:hint="eastAsia"/>
          <w:b/>
          <w:bCs/>
          <w:lang w:val="en-US" w:eastAsia="zh-CN"/>
        </w:rPr>
        <w:t>Observation 8: Top-K/1 is the relaxation of Top-1/1, UE vendors has extended margin on this performance metric and the prediction accuracy can be up to 97% even the measurement error has been added.</w:t>
      </w:r>
    </w:p>
    <w:p>
      <w:pPr>
        <w:jc w:val="both"/>
        <w:rPr>
          <w:rFonts w:hint="eastAsia"/>
          <w:b/>
          <w:bCs/>
          <w:lang w:val="en-US" w:eastAsia="zh-CN"/>
        </w:rPr>
      </w:pPr>
      <w:r>
        <w:rPr>
          <w:rFonts w:hint="eastAsia"/>
          <w:b/>
          <w:bCs/>
          <w:lang w:val="en-US" w:eastAsia="zh-CN"/>
        </w:rPr>
        <w:t>Observation 9: If the margin is set too large, the threshold for performance validation becomes low enough that any UE can pass the test, leading to the realization that AI</w:t>
      </w:r>
      <w:r>
        <w:rPr>
          <w:rFonts w:hint="default"/>
          <w:b/>
          <w:bCs/>
          <w:lang w:val="en-US" w:eastAsia="zh-CN"/>
        </w:rPr>
        <w:t>’</w:t>
      </w:r>
      <w:r>
        <w:rPr>
          <w:rFonts w:hint="eastAsia"/>
          <w:b/>
          <w:bCs/>
          <w:lang w:val="en-US" w:eastAsia="zh-CN"/>
        </w:rPr>
        <w:t>s predictive capabilities are actually not as good as legacy methods.</w:t>
      </w:r>
    </w:p>
    <w:p>
      <w:pPr>
        <w:jc w:val="both"/>
        <w:rPr>
          <w:rFonts w:hint="eastAsia"/>
          <w:b/>
          <w:bCs/>
          <w:lang w:val="en-US" w:eastAsia="zh-CN"/>
        </w:rPr>
      </w:pPr>
      <w:r>
        <w:rPr>
          <w:rFonts w:hint="eastAsia"/>
          <w:b/>
          <w:bCs/>
          <w:lang w:val="en-US" w:eastAsia="zh-CN"/>
        </w:rPr>
        <w:t>Proposal 5: At least x=0 shall be considered in performance metrics.</w:t>
      </w:r>
    </w:p>
    <w:p>
      <w:pPr>
        <w:jc w:val="both"/>
        <w:rPr>
          <w:rFonts w:hint="eastAsia"/>
          <w:b/>
          <w:bCs/>
          <w:lang w:val="en-US" w:eastAsia="zh-CN"/>
        </w:rPr>
      </w:pPr>
      <w:r>
        <w:rPr>
          <w:rFonts w:hint="eastAsia"/>
          <w:b/>
          <w:bCs/>
          <w:lang w:val="en-US" w:eastAsia="zh-CN"/>
        </w:rPr>
        <w:t>Proposal 6: The concrete value of x when x&gt;0 shall be defined based on simulation results.</w:t>
      </w:r>
    </w:p>
    <w:p>
      <w:pPr>
        <w:jc w:val="both"/>
        <w:rPr>
          <w:rFonts w:hint="eastAsia"/>
          <w:lang w:val="en-US" w:eastAsia="zh-CN"/>
        </w:rPr>
      </w:pPr>
      <w:r>
        <w:rPr>
          <w:rFonts w:hint="eastAsia"/>
          <w:b/>
          <w:bCs/>
          <w:lang w:val="en-US" w:eastAsia="zh-CN"/>
        </w:rPr>
        <w:t>Proposal 7: The value of x shall not be set too large in order to guarantee the AI performance test and prevent UE easily passes the test.</w:t>
      </w:r>
      <w:r>
        <w:rPr>
          <w:rFonts w:hint="eastAsia"/>
          <w:lang w:val="en-US" w:eastAsia="zh-CN"/>
        </w:rPr>
        <w:t xml:space="preserve"> </w:t>
      </w:r>
    </w:p>
    <w:p>
      <w:pPr>
        <w:jc w:val="both"/>
        <w:rPr>
          <w:rFonts w:hint="default"/>
          <w:vertAlign w:val="baseline"/>
          <w:lang w:val="en-US" w:eastAsia="zh-CN"/>
        </w:rPr>
      </w:pPr>
      <w:r>
        <w:rPr>
          <w:rFonts w:hint="eastAsia"/>
          <w:lang w:val="en-US" w:eastAsia="zh-CN"/>
        </w:rPr>
        <w:t>Another issue is whether Top-K/N is introduced. In the last meeting, we spent lots of time on discussing this issue without any consensus. However, we observed that the interpretation of Top-K/N is not aligned by companies. For this issue, we would like to split two parts as below:</w:t>
      </w:r>
    </w:p>
    <w:p>
      <w:pPr>
        <w:numPr>
          <w:ilvl w:val="0"/>
          <w:numId w:val="14"/>
        </w:numPr>
        <w:jc w:val="both"/>
        <w:rPr>
          <w:rFonts w:hint="eastAsia"/>
          <w:i/>
          <w:iCs/>
          <w:lang w:val="en-US" w:eastAsia="zh-CN"/>
        </w:rPr>
      </w:pPr>
      <w:r>
        <w:rPr>
          <w:rFonts w:hint="eastAsia"/>
          <w:i/>
          <w:iCs/>
          <w:lang w:val="en-US" w:eastAsia="zh-CN"/>
        </w:rPr>
        <w:t>Whether to introduce Top-N beams.</w:t>
      </w:r>
    </w:p>
    <w:p>
      <w:pPr>
        <w:numPr>
          <w:ilvl w:val="0"/>
          <w:numId w:val="0"/>
        </w:numPr>
        <w:ind w:leftChars="0"/>
        <w:jc w:val="both"/>
        <w:rPr>
          <w:rFonts w:hint="eastAsia"/>
          <w:lang w:val="en-US" w:eastAsia="zh-CN"/>
        </w:rPr>
      </w:pPr>
      <w:r>
        <w:rPr>
          <w:rFonts w:hint="eastAsia"/>
          <w:lang w:val="en-US" w:eastAsia="zh-CN"/>
        </w:rPr>
        <w:t>From network perspective, we prefer to only adopting Top-K/1 as final metric which also has high simulation results in the last section. Thus, Top-N beams are not necessary for us. However, most companies have strong will to define that because of consideration of the whole system performance, i.e. the maximum ground truth beam among Top-K beams has small difference or equal to Top-1 beam if only Top-1 beam is considered. The test will definitely pass. Nonetheless, if the rest of beams in Top-K predicted beams are worse beams, the whole AI/ML performance will be wrongly judged as successful. For this reason, most companies would like to introduce Top-N beam to ensure high reliability of AI/ML method. Consequently, we support to introduce Top-N beams for beam ID prediction.</w:t>
      </w:r>
    </w:p>
    <w:p>
      <w:pPr>
        <w:numPr>
          <w:ilvl w:val="0"/>
          <w:numId w:val="0"/>
        </w:numPr>
        <w:ind w:leftChars="0"/>
        <w:jc w:val="both"/>
        <w:rPr>
          <w:rFonts w:hint="eastAsia"/>
          <w:b/>
          <w:bCs/>
          <w:lang w:val="en-US" w:eastAsia="zh-CN"/>
        </w:rPr>
      </w:pPr>
      <w:r>
        <w:rPr>
          <w:rFonts w:hint="eastAsia"/>
          <w:b/>
          <w:bCs/>
          <w:lang w:val="en-US" w:eastAsia="zh-CN"/>
        </w:rPr>
        <w:t>Observation 10: the maximum ground truth beam among Top-K beams has small difference or equal to Top-1 beam if only Top-1 beam is considered. The test will definitely pass. Nonetheless, if the rest of beams in Top-K predicted beams are worse beams, the whole AI/ML performance will be wrongly judged as successful.</w:t>
      </w:r>
    </w:p>
    <w:p>
      <w:pPr>
        <w:numPr>
          <w:ilvl w:val="0"/>
          <w:numId w:val="0"/>
        </w:numPr>
        <w:ind w:leftChars="0"/>
        <w:jc w:val="both"/>
        <w:rPr>
          <w:rFonts w:hint="default"/>
          <w:b/>
          <w:bCs/>
          <w:lang w:val="en-US" w:eastAsia="zh-CN"/>
        </w:rPr>
      </w:pPr>
      <w:r>
        <w:rPr>
          <w:rFonts w:hint="eastAsia"/>
          <w:b/>
          <w:bCs/>
          <w:lang w:val="en-US" w:eastAsia="zh-CN"/>
        </w:rPr>
        <w:t>Proposal 8: RAN4 shall support to introduce Top-N beams for beam ID prediction to ensure high reliability of AI/ML.</w:t>
      </w:r>
    </w:p>
    <w:p>
      <w:pPr>
        <w:numPr>
          <w:ilvl w:val="0"/>
          <w:numId w:val="14"/>
        </w:numPr>
        <w:jc w:val="both"/>
        <w:rPr>
          <w:rFonts w:hint="default"/>
          <w:i/>
          <w:iCs/>
          <w:lang w:val="en-US" w:eastAsia="zh-CN"/>
        </w:rPr>
      </w:pPr>
      <w:r>
        <w:rPr>
          <w:rFonts w:hint="eastAsia"/>
          <w:i/>
          <w:iCs/>
          <w:lang w:val="en-US" w:eastAsia="zh-CN"/>
        </w:rPr>
        <w:t>How to define Top-K/N% metric.</w:t>
      </w:r>
    </w:p>
    <w:p>
      <w:pPr>
        <w:numPr>
          <w:ilvl w:val="0"/>
          <w:numId w:val="0"/>
        </w:numPr>
        <w:ind w:leftChars="0"/>
        <w:jc w:val="both"/>
        <w:rPr>
          <w:rFonts w:hint="eastAsia"/>
          <w:lang w:val="en-US" w:eastAsia="zh-CN"/>
        </w:rPr>
      </w:pPr>
      <w:r>
        <w:rPr>
          <w:rFonts w:hint="eastAsia"/>
          <w:lang w:val="en-US" w:eastAsia="zh-CN"/>
        </w:rPr>
        <w:t>The next step is to define Top-K/N%, but we observed that different companies have different interpretation on this metric, we summarize three different understandings as below:</w:t>
      </w:r>
    </w:p>
    <w:p>
      <w:pPr>
        <w:numPr>
          <w:ilvl w:val="0"/>
          <w:numId w:val="15"/>
        </w:numPr>
        <w:ind w:leftChars="0"/>
        <w:jc w:val="both"/>
        <w:rPr>
          <w:rFonts w:hint="default"/>
          <w:lang w:val="en-US" w:eastAsia="zh-CN"/>
        </w:rPr>
      </w:pPr>
      <w:r>
        <w:rPr>
          <w:rFonts w:hint="eastAsia"/>
          <w:lang w:val="en-US" w:eastAsia="zh-CN"/>
        </w:rPr>
        <w:t>One of Top-N beams contains in Top-K predicted beams; (like RAN1</w:t>
      </w:r>
      <w:r>
        <w:rPr>
          <w:rFonts w:hint="default"/>
          <w:lang w:val="en-US" w:eastAsia="zh-CN"/>
        </w:rPr>
        <w:t>’</w:t>
      </w:r>
      <w:r>
        <w:rPr>
          <w:rFonts w:hint="eastAsia"/>
          <w:lang w:val="en-US" w:eastAsia="zh-CN"/>
        </w:rPr>
        <w:t>s agreement on performance monitoring)</w:t>
      </w:r>
    </w:p>
    <w:p>
      <w:pPr>
        <w:numPr>
          <w:ilvl w:val="0"/>
          <w:numId w:val="15"/>
        </w:numPr>
        <w:ind w:leftChars="0"/>
        <w:jc w:val="both"/>
        <w:rPr>
          <w:rFonts w:hint="default"/>
          <w:lang w:val="en-US" w:eastAsia="zh-CN"/>
        </w:rPr>
      </w:pPr>
      <w:r>
        <w:rPr>
          <w:rFonts w:hint="eastAsia"/>
          <w:lang w:val="en-US" w:eastAsia="zh-CN"/>
        </w:rPr>
        <w:t>All of Top-N beams contains in Top-K predicted beams with corresponding order.</w:t>
      </w:r>
    </w:p>
    <w:p>
      <w:pPr>
        <w:numPr>
          <w:ilvl w:val="0"/>
          <w:numId w:val="15"/>
        </w:numPr>
        <w:ind w:leftChars="0"/>
        <w:jc w:val="both"/>
        <w:rPr>
          <w:rFonts w:hint="default"/>
          <w:lang w:val="en-US" w:eastAsia="zh-CN"/>
        </w:rPr>
      </w:pPr>
      <w:r>
        <w:rPr>
          <w:rFonts w:hint="eastAsia"/>
          <w:lang w:val="en-US" w:eastAsia="zh-CN"/>
        </w:rPr>
        <w:t>All of Top-N beams contains in Top-K predicted beams without corresponding order.</w:t>
      </w:r>
    </w:p>
    <w:p>
      <w:pPr>
        <w:numPr>
          <w:ilvl w:val="0"/>
          <w:numId w:val="0"/>
        </w:numPr>
        <w:ind w:leftChars="0"/>
        <w:jc w:val="both"/>
        <w:rPr>
          <w:rFonts w:hint="eastAsia"/>
          <w:lang w:val="en-US" w:eastAsia="zh-CN"/>
        </w:rPr>
      </w:pPr>
      <w:r>
        <w:rPr>
          <w:rFonts w:hint="eastAsia"/>
          <w:b/>
          <w:bCs/>
          <w:i/>
          <w:iCs/>
          <w:lang w:val="en-US" w:eastAsia="zh-CN"/>
        </w:rPr>
        <w:t>For interpretation A,</w:t>
      </w:r>
      <w:r>
        <w:rPr>
          <w:rFonts w:hint="eastAsia"/>
          <w:lang w:val="en-US" w:eastAsia="zh-CN"/>
        </w:rPr>
        <w:t xml:space="preserve"> we know the motivation of this understanding, which is that the difference among Top-N beams is too small so that can be ignored. UE may not report correct order and the best beam will be the second best beam or the third best beam, thus the proponents would like to select one of Top-N beams as benchmark. However, we think the test will be passed easily if only one of Top-N in Top-K predicted beams. From network perspective, this interpretation shall be precluded.</w:t>
      </w:r>
    </w:p>
    <w:p>
      <w:pPr>
        <w:numPr>
          <w:ilvl w:val="0"/>
          <w:numId w:val="0"/>
        </w:numPr>
        <w:ind w:leftChars="0"/>
        <w:jc w:val="both"/>
        <w:rPr>
          <w:rFonts w:hint="eastAsia"/>
          <w:lang w:val="en-US" w:eastAsia="zh-CN"/>
        </w:rPr>
      </w:pPr>
      <w:r>
        <w:rPr>
          <w:rFonts w:hint="eastAsia"/>
          <w:b/>
          <w:bCs/>
          <w:i/>
          <w:iCs/>
          <w:lang w:val="en-US" w:eastAsia="zh-CN"/>
        </w:rPr>
        <w:t>For interpretation B</w:t>
      </w:r>
      <w:r>
        <w:rPr>
          <w:rFonts w:hint="eastAsia"/>
          <w:lang w:val="en-US" w:eastAsia="zh-CN"/>
        </w:rPr>
        <w:t>, the motivation of this understanding is the opposite side of interpretation A. The detailed understanding is as below:</w:t>
      </w:r>
    </w:p>
    <w:p>
      <w:pPr>
        <w:pStyle w:val="31"/>
        <w:numPr>
          <w:ilvl w:val="0"/>
          <w:numId w:val="16"/>
        </w:numPr>
        <w:rPr>
          <w:rFonts w:eastAsia="Yu Mincho"/>
          <w:iCs/>
          <w:sz w:val="20"/>
          <w:szCs w:val="20"/>
          <w:lang w:val="en-US"/>
        </w:rPr>
      </w:pPr>
      <w:r>
        <w:rPr>
          <w:rFonts w:eastAsia="Yu Mincho"/>
          <w:iCs/>
          <w:sz w:val="20"/>
          <w:szCs w:val="20"/>
          <w:lang w:val="en-US"/>
        </w:rPr>
        <w:t>The ground-truth RSRP among 1</w:t>
      </w:r>
      <w:r>
        <w:rPr>
          <w:rFonts w:eastAsia="Yu Mincho"/>
          <w:iCs/>
          <w:sz w:val="20"/>
          <w:szCs w:val="20"/>
          <w:vertAlign w:val="superscript"/>
          <w:lang w:val="en-US"/>
        </w:rPr>
        <w:t>st</w:t>
      </w:r>
      <w:r>
        <w:rPr>
          <w:rFonts w:eastAsia="Yu Mincho"/>
          <w:iCs/>
          <w:sz w:val="20"/>
          <w:szCs w:val="20"/>
          <w:lang w:val="en-US"/>
        </w:rPr>
        <w:t xml:space="preserve">  predicted beams larger than or equal to the ground-truth RSRP of the 1</w:t>
      </w:r>
      <w:r>
        <w:rPr>
          <w:rFonts w:eastAsia="Yu Mincho"/>
          <w:iCs/>
          <w:sz w:val="20"/>
          <w:szCs w:val="20"/>
          <w:vertAlign w:val="superscript"/>
          <w:lang w:val="en-US"/>
        </w:rPr>
        <w:t>st</w:t>
      </w:r>
      <w:r>
        <w:rPr>
          <w:rFonts w:eastAsia="Yu Mincho"/>
          <w:iCs/>
          <w:sz w:val="20"/>
          <w:szCs w:val="20"/>
          <w:lang w:val="en-US"/>
        </w:rPr>
        <w:t xml:space="preserve"> strongest  genie-aided beam(s) – x1 dB,</w:t>
      </w:r>
    </w:p>
    <w:p>
      <w:pPr>
        <w:pStyle w:val="31"/>
        <w:numPr>
          <w:ilvl w:val="0"/>
          <w:numId w:val="16"/>
        </w:numPr>
        <w:rPr>
          <w:rFonts w:eastAsia="Yu Mincho"/>
          <w:iCs/>
          <w:sz w:val="20"/>
          <w:szCs w:val="20"/>
          <w:lang w:val="en-US"/>
        </w:rPr>
      </w:pPr>
      <w:r>
        <w:rPr>
          <w:rFonts w:eastAsia="Yu Mincho"/>
          <w:iCs/>
          <w:sz w:val="20"/>
          <w:szCs w:val="20"/>
          <w:lang w:val="en-US"/>
        </w:rPr>
        <w:t>The ground-truth RSRP among 2</w:t>
      </w:r>
      <w:r>
        <w:rPr>
          <w:rFonts w:eastAsia="Yu Mincho"/>
          <w:iCs/>
          <w:sz w:val="20"/>
          <w:szCs w:val="20"/>
          <w:vertAlign w:val="superscript"/>
          <w:lang w:val="en-US"/>
        </w:rPr>
        <w:t>nd</w:t>
      </w:r>
      <w:r>
        <w:rPr>
          <w:rFonts w:eastAsia="Yu Mincho"/>
          <w:iCs/>
          <w:sz w:val="20"/>
          <w:szCs w:val="20"/>
          <w:lang w:val="en-US"/>
        </w:rPr>
        <w:t xml:space="preserve">  predicted beams larger than or equal to the ground-truth RSRP of the 2</w:t>
      </w:r>
      <w:r>
        <w:rPr>
          <w:rFonts w:eastAsia="Yu Mincho"/>
          <w:iCs/>
          <w:sz w:val="20"/>
          <w:szCs w:val="20"/>
          <w:vertAlign w:val="superscript"/>
          <w:lang w:val="en-US"/>
        </w:rPr>
        <w:t xml:space="preserve">nd </w:t>
      </w:r>
      <w:r>
        <w:rPr>
          <w:rFonts w:eastAsia="Yu Mincho"/>
          <w:iCs/>
          <w:sz w:val="20"/>
          <w:szCs w:val="20"/>
          <w:lang w:val="en-US"/>
        </w:rPr>
        <w:t>strongest  genie-aided beam(s) – x2 dB,</w:t>
      </w:r>
    </w:p>
    <w:p>
      <w:pPr>
        <w:pStyle w:val="31"/>
        <w:numPr>
          <w:ilvl w:val="0"/>
          <w:numId w:val="16"/>
        </w:numPr>
        <w:rPr>
          <w:rFonts w:eastAsia="Yu Mincho"/>
          <w:iCs/>
          <w:sz w:val="20"/>
          <w:szCs w:val="20"/>
          <w:lang w:val="en-US"/>
        </w:rPr>
      </w:pPr>
      <w:r>
        <w:rPr>
          <w:rFonts w:eastAsia="Yu Mincho"/>
          <w:iCs/>
          <w:sz w:val="20"/>
          <w:szCs w:val="20"/>
          <w:lang w:val="en-US"/>
        </w:rPr>
        <w:t>…</w:t>
      </w:r>
    </w:p>
    <w:p>
      <w:pPr>
        <w:pStyle w:val="31"/>
        <w:numPr>
          <w:ilvl w:val="0"/>
          <w:numId w:val="16"/>
        </w:numPr>
        <w:rPr>
          <w:rFonts w:eastAsia="Yu Mincho"/>
          <w:iCs/>
          <w:sz w:val="20"/>
          <w:szCs w:val="20"/>
          <w:lang w:val="en-US"/>
        </w:rPr>
      </w:pPr>
      <w:r>
        <w:rPr>
          <w:rFonts w:eastAsia="Yu Mincho"/>
          <w:iCs/>
          <w:sz w:val="20"/>
          <w:szCs w:val="20"/>
          <w:lang w:val="en-US"/>
        </w:rPr>
        <w:t>The ground-truth RSRP among Nth predicted beams larger than or equal to the ground-truth RSRP of the Nth  strongest genie-aided beam(s) – xV dB</w:t>
      </w:r>
    </w:p>
    <w:p>
      <w:pPr>
        <w:numPr>
          <w:ilvl w:val="0"/>
          <w:numId w:val="0"/>
        </w:numPr>
        <w:ind w:leftChars="0"/>
        <w:jc w:val="both"/>
        <w:rPr>
          <w:rFonts w:hint="eastAsia"/>
          <w:lang w:val="en-US" w:eastAsia="zh-CN"/>
        </w:rPr>
      </w:pPr>
      <w:r>
        <w:rPr>
          <w:rFonts w:hint="eastAsia"/>
          <w:lang w:val="en-US" w:eastAsia="zh-CN"/>
        </w:rPr>
        <w:t>It appears that the proposed solution may impose more stringent requirements than those previously agreed upon, as it involves RSRP verification of each predicted beam in Top-N beams. Compared to interpretation A, this metric will not cause test passes easily, but this metric has large probability that the test will not be passed since the conditions are quite strict. We would like to deprioritize this interpretation.</w:t>
      </w:r>
    </w:p>
    <w:p>
      <w:pPr>
        <w:numPr>
          <w:ilvl w:val="0"/>
          <w:numId w:val="0"/>
        </w:numPr>
        <w:ind w:leftChars="0"/>
        <w:jc w:val="both"/>
        <w:rPr>
          <w:rFonts w:hint="eastAsia"/>
          <w:lang w:val="en-US" w:eastAsia="zh-CN"/>
        </w:rPr>
      </w:pPr>
      <w:r>
        <w:rPr>
          <w:rFonts w:hint="eastAsia"/>
          <w:b/>
          <w:bCs/>
          <w:i/>
          <w:iCs/>
          <w:lang w:val="en-US" w:eastAsia="zh-CN"/>
        </w:rPr>
        <w:t>For interpretation C</w:t>
      </w:r>
      <w:r>
        <w:rPr>
          <w:rFonts w:hint="eastAsia"/>
          <w:lang w:val="en-US" w:eastAsia="zh-CN"/>
        </w:rPr>
        <w:t>, this understanding is proposed by us. We observe that this metric not only consider the whole system performance but no order is requested. We only guarantee all Top-N beams contain in Top-K beams, Top-N beams are measured by UE which can be assumed as groundtruth beams. That is, if all groundtruth beams contain in AI/ML predicted Top-K beams, the test will be passed. Consequently, interpretation C can be the compromise understanding.</w:t>
      </w:r>
    </w:p>
    <w:p>
      <w:pPr>
        <w:numPr>
          <w:ilvl w:val="0"/>
          <w:numId w:val="0"/>
        </w:numPr>
        <w:ind w:leftChars="0"/>
        <w:jc w:val="both"/>
        <w:rPr>
          <w:rFonts w:hint="eastAsia"/>
          <w:b/>
          <w:bCs/>
          <w:lang w:val="en-US" w:eastAsia="zh-CN"/>
        </w:rPr>
      </w:pPr>
      <w:r>
        <w:rPr>
          <w:rFonts w:hint="eastAsia"/>
          <w:b/>
          <w:bCs/>
          <w:lang w:val="en-US" w:eastAsia="zh-CN"/>
        </w:rPr>
        <w:t>Proposal 9: Different interpretation of Top-K/N% could be seen as below:</w:t>
      </w:r>
    </w:p>
    <w:p>
      <w:pPr>
        <w:numPr>
          <w:ilvl w:val="0"/>
          <w:numId w:val="17"/>
        </w:numPr>
        <w:ind w:left="420" w:leftChars="0"/>
        <w:jc w:val="both"/>
        <w:rPr>
          <w:rFonts w:hint="default"/>
          <w:b/>
          <w:bCs/>
          <w:lang w:val="en-US" w:eastAsia="zh-CN"/>
        </w:rPr>
      </w:pPr>
      <w:r>
        <w:rPr>
          <w:rFonts w:hint="eastAsia"/>
          <w:b/>
          <w:bCs/>
          <w:lang w:val="en-US" w:eastAsia="zh-CN"/>
        </w:rPr>
        <w:t>One of Top-N beams contains in Top-K predicted beams; (like RAN1</w:t>
      </w:r>
      <w:r>
        <w:rPr>
          <w:rFonts w:hint="default"/>
          <w:b/>
          <w:bCs/>
          <w:lang w:val="en-US" w:eastAsia="zh-CN"/>
        </w:rPr>
        <w:t>’</w:t>
      </w:r>
      <w:r>
        <w:rPr>
          <w:rFonts w:hint="eastAsia"/>
          <w:b/>
          <w:bCs/>
          <w:lang w:val="en-US" w:eastAsia="zh-CN"/>
        </w:rPr>
        <w:t>s agreement on performance monitoring)</w:t>
      </w:r>
    </w:p>
    <w:p>
      <w:pPr>
        <w:numPr>
          <w:ilvl w:val="0"/>
          <w:numId w:val="17"/>
        </w:numPr>
        <w:ind w:left="420" w:leftChars="0"/>
        <w:jc w:val="both"/>
        <w:rPr>
          <w:rFonts w:hint="default"/>
          <w:b/>
          <w:bCs/>
          <w:lang w:val="en-US" w:eastAsia="zh-CN"/>
        </w:rPr>
      </w:pPr>
      <w:r>
        <w:rPr>
          <w:rFonts w:hint="eastAsia"/>
          <w:b/>
          <w:bCs/>
          <w:lang w:val="en-US" w:eastAsia="zh-CN"/>
        </w:rPr>
        <w:t>All of Top-N beams contains in Top-K predicted beams with corresponding order.</w:t>
      </w:r>
    </w:p>
    <w:p>
      <w:pPr>
        <w:numPr>
          <w:ilvl w:val="0"/>
          <w:numId w:val="17"/>
        </w:numPr>
        <w:ind w:left="420" w:leftChars="0"/>
        <w:jc w:val="both"/>
        <w:rPr>
          <w:rFonts w:hint="default"/>
          <w:b/>
          <w:bCs/>
          <w:lang w:val="en-US" w:eastAsia="zh-CN"/>
        </w:rPr>
      </w:pPr>
      <w:r>
        <w:rPr>
          <w:rFonts w:hint="eastAsia"/>
          <w:b/>
          <w:bCs/>
          <w:lang w:val="en-US" w:eastAsia="zh-CN"/>
        </w:rPr>
        <w:t>All of Top-N beams contains in Top-K predicted beams without corresponding order.</w:t>
      </w:r>
    </w:p>
    <w:p>
      <w:pPr>
        <w:numPr>
          <w:ilvl w:val="0"/>
          <w:numId w:val="0"/>
        </w:numPr>
        <w:ind w:leftChars="0"/>
        <w:jc w:val="both"/>
        <w:rPr>
          <w:rFonts w:hint="eastAsia"/>
          <w:b/>
          <w:bCs/>
          <w:lang w:val="en-US" w:eastAsia="zh-CN"/>
        </w:rPr>
      </w:pPr>
      <w:r>
        <w:rPr>
          <w:rFonts w:hint="eastAsia"/>
          <w:b/>
          <w:bCs/>
          <w:lang w:val="en-US" w:eastAsia="zh-CN"/>
        </w:rPr>
        <w:t>Observation 11: For interpretation A, the test will be passed easily if only one of Top-N in Top-K predicted beams.</w:t>
      </w:r>
    </w:p>
    <w:p>
      <w:pPr>
        <w:numPr>
          <w:ilvl w:val="0"/>
          <w:numId w:val="0"/>
        </w:numPr>
        <w:ind w:leftChars="0"/>
        <w:jc w:val="both"/>
        <w:rPr>
          <w:rFonts w:hint="eastAsia"/>
          <w:b/>
          <w:bCs/>
          <w:lang w:val="en-US" w:eastAsia="zh-CN"/>
        </w:rPr>
      </w:pPr>
      <w:r>
        <w:rPr>
          <w:rFonts w:hint="eastAsia"/>
          <w:b/>
          <w:bCs/>
          <w:lang w:val="en-US" w:eastAsia="zh-CN"/>
        </w:rPr>
        <w:t>Observation 12: For interpretation B, compared to interpretation A, this metric will not cause test passes easily, but this metric has large probability that the test will not be passed since the conditions are quite strict.</w:t>
      </w:r>
    </w:p>
    <w:p>
      <w:pPr>
        <w:numPr>
          <w:ilvl w:val="0"/>
          <w:numId w:val="0"/>
        </w:numPr>
        <w:ind w:leftChars="0"/>
        <w:jc w:val="both"/>
        <w:rPr>
          <w:rFonts w:hint="eastAsia"/>
          <w:b/>
          <w:bCs/>
          <w:lang w:val="en-US" w:eastAsia="zh-CN"/>
        </w:rPr>
      </w:pPr>
      <w:r>
        <w:rPr>
          <w:rFonts w:hint="eastAsia"/>
          <w:b/>
          <w:bCs/>
          <w:lang w:val="en-US" w:eastAsia="zh-CN"/>
        </w:rPr>
        <w:t>Observation 13: For interpretation C, only guarantee all Top-N beams contain in Top-K beams, Top-N beams are measured by UE which can be assumed as groundtruth beams. That is, if all groundtruth beams contain in AI/ML predicted Top-K beams, the test will be passed.</w:t>
      </w:r>
    </w:p>
    <w:p>
      <w:pPr>
        <w:numPr>
          <w:ilvl w:val="0"/>
          <w:numId w:val="0"/>
        </w:numPr>
        <w:ind w:leftChars="0"/>
        <w:jc w:val="both"/>
        <w:rPr>
          <w:rFonts w:hint="default"/>
          <w:b/>
          <w:bCs/>
          <w:lang w:val="en-US" w:eastAsia="zh-CN"/>
        </w:rPr>
      </w:pPr>
      <w:r>
        <w:rPr>
          <w:rFonts w:hint="eastAsia"/>
          <w:b/>
          <w:bCs/>
          <w:lang w:val="en-US" w:eastAsia="zh-CN"/>
        </w:rPr>
        <w:t>Proposal 10: The definition of Top-K/N% shall be all of Top-N beams contains in Top-K predicted beams without corresponding order.</w:t>
      </w:r>
    </w:p>
    <w:p>
      <w:pPr>
        <w:pStyle w:val="3"/>
        <w:rPr>
          <w:rFonts w:hint="eastAsia"/>
          <w:sz w:val="24"/>
          <w:szCs w:val="24"/>
          <w:lang w:val="en-US" w:eastAsia="zh-CN"/>
        </w:rPr>
      </w:pPr>
      <w:r>
        <w:rPr>
          <w:rFonts w:hint="eastAsia"/>
          <w:sz w:val="24"/>
          <w:szCs w:val="24"/>
          <w:lang w:val="en-US" w:eastAsia="zh-CN"/>
        </w:rPr>
        <w:t xml:space="preserve">2.2 Measurement period for inference </w:t>
      </w:r>
    </w:p>
    <w:p>
      <w:pPr>
        <w:spacing w:before="161" w:beforeLines="50" w:after="161" w:afterLines="50"/>
        <w:rPr>
          <w:rFonts w:hint="eastAsia"/>
          <w:lang w:val="en-US" w:eastAsia="zh-CN"/>
        </w:rPr>
      </w:pPr>
      <w:r>
        <w:rPr>
          <w:rFonts w:hint="eastAsia"/>
          <w:lang w:val="en-US" w:eastAsia="zh-CN"/>
        </w:rPr>
        <w:t>In the last meeting, prediction delay requirements have been discussed with agreements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b/>
                <w:bCs/>
                <w:iCs/>
                <w:lang w:eastAsia="zh-CN"/>
              </w:rPr>
            </w:pPr>
            <w:r>
              <w:rPr>
                <w:b/>
                <w:bCs/>
                <w:iCs/>
                <w:lang w:eastAsia="zh-CN"/>
              </w:rPr>
              <w:t>Agreement:</w:t>
            </w:r>
          </w:p>
          <w:p>
            <w:pPr>
              <w:spacing w:after="120"/>
              <w:rPr>
                <w:rFonts w:eastAsia="Yu Mincho"/>
                <w:iCs/>
                <w:lang w:eastAsia="ja-JP"/>
              </w:rPr>
            </w:pPr>
            <w:r>
              <w:rPr>
                <w:rFonts w:hint="eastAsia" w:eastAsia="Yu Mincho"/>
                <w:iCs/>
                <w:lang w:eastAsia="ja-JP"/>
              </w:rPr>
              <w:t>Case 1:</w:t>
            </w:r>
            <w:r>
              <w:rPr>
                <w:rFonts w:eastAsia="Yu Mincho"/>
                <w:iCs/>
                <w:lang w:eastAsia="ja-JP"/>
              </w:rPr>
              <w:t xml:space="preserve"> The starting point is to use</w:t>
            </w:r>
            <w:r>
              <w:rPr>
                <w:rFonts w:hint="eastAsia" w:eastAsia="Yu Mincho"/>
                <w:iCs/>
                <w:lang w:eastAsia="ja-JP"/>
              </w:rPr>
              <w:t xml:space="preserve"> M, N, P (</w:t>
            </w:r>
            <w:r>
              <w:rPr>
                <w:rFonts w:eastAsia="Yu Mincho"/>
                <w:iCs/>
                <w:lang w:eastAsia="ja-JP"/>
              </w:rPr>
              <w:t>reference</w:t>
            </w:r>
            <w:r>
              <w:rPr>
                <w:rFonts w:hint="eastAsia" w:eastAsia="Yu Mincho"/>
                <w:iCs/>
                <w:lang w:eastAsia="ja-JP"/>
              </w:rPr>
              <w:t xml:space="preserve"> the values from an existing clause</w:t>
            </w:r>
            <w:r>
              <w:rPr>
                <w:rFonts w:eastAsia="Yu Mincho"/>
                <w:iCs/>
                <w:lang w:eastAsia="ja-JP"/>
              </w:rPr>
              <w:t xml:space="preserve"> in the same version of the spec where the measurement period is defined</w:t>
            </w:r>
            <w:r>
              <w:rPr>
                <w:rFonts w:hint="eastAsia" w:eastAsia="Yu Mincho"/>
                <w:iCs/>
                <w:lang w:eastAsia="ja-JP"/>
              </w:rPr>
              <w:t xml:space="preserve">) </w:t>
            </w:r>
          </w:p>
          <w:p>
            <w:pPr>
              <w:spacing w:after="120"/>
              <w:rPr>
                <w:rFonts w:hint="eastAsia"/>
                <w:vertAlign w:val="baseline"/>
                <w:lang w:val="en-US" w:eastAsia="zh-CN"/>
              </w:rPr>
            </w:pPr>
            <w:r>
              <w:rPr>
                <w:rFonts w:hint="eastAsia" w:eastAsia="Yu Mincho"/>
                <w:iCs/>
                <w:lang w:eastAsia="ja-JP"/>
              </w:rPr>
              <w:t>Case 2: postpone discussion until RAN1 concludes</w:t>
            </w:r>
          </w:p>
        </w:tc>
      </w:tr>
    </w:tbl>
    <w:p>
      <w:pPr>
        <w:rPr>
          <w:rFonts w:hint="eastAsia"/>
          <w:lang w:val="en-US" w:eastAsia="zh-CN"/>
        </w:rPr>
      </w:pPr>
      <w:r>
        <w:rPr>
          <w:rFonts w:hint="eastAsia"/>
          <w:lang w:val="en-US" w:eastAsia="zh-CN"/>
        </w:rPr>
        <w:t xml:space="preserve">Before we RAN4 defining the prediction delay requirements, the components of prediction delay shall be firstly decided, and then the specific requirements could be considered. </w:t>
      </w:r>
    </w:p>
    <w:p>
      <w:pPr>
        <w:spacing w:before="161" w:beforeLines="50" w:after="161" w:afterLines="50"/>
        <w:jc w:val="both"/>
        <w:rPr>
          <w:rFonts w:hint="eastAsia"/>
          <w:b/>
          <w:bCs/>
          <w:i/>
          <w:iCs/>
          <w:lang w:val="en-US" w:eastAsia="zh-CN"/>
        </w:rPr>
      </w:pPr>
      <w:r>
        <w:rPr>
          <w:rFonts w:hint="eastAsia"/>
          <w:b/>
          <w:bCs/>
          <w:i/>
          <w:iCs/>
          <w:lang w:val="en-US" w:eastAsia="zh-CN"/>
        </w:rPr>
        <w:t>Potential components in prediction delay</w:t>
      </w:r>
    </w:p>
    <w:p>
      <w:pPr>
        <w:rPr>
          <w:rFonts w:hint="eastAsia"/>
          <w:lang w:val="en-US" w:eastAsia="zh-CN"/>
        </w:rPr>
      </w:pPr>
      <w:r>
        <w:rPr>
          <w:rFonts w:hint="eastAsia"/>
          <w:lang w:val="en-US" w:eastAsia="zh-CN"/>
        </w:rPr>
        <w:t>To my understanding, the following figure could show us the concrete components in prediction delay:</w:t>
      </w:r>
    </w:p>
    <w:p>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3662680" cy="866140"/>
            <wp:effectExtent l="0" t="0" r="0" b="254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7"/>
                    <a:stretch>
                      <a:fillRect/>
                    </a:stretch>
                  </pic:blipFill>
                  <pic:spPr>
                    <a:xfrm>
                      <a:off x="0" y="0"/>
                      <a:ext cx="3662680" cy="866140"/>
                    </a:xfrm>
                    <a:prstGeom prst="rect">
                      <a:avLst/>
                    </a:prstGeom>
                    <a:noFill/>
                    <a:ln w="9525">
                      <a:noFill/>
                    </a:ln>
                  </pic:spPr>
                </pic:pic>
              </a:graphicData>
            </a:graphic>
          </wp:inline>
        </w:drawing>
      </w:r>
    </w:p>
    <w:p>
      <w:pPr>
        <w:jc w:val="center"/>
        <w:rPr>
          <w:rFonts w:hint="default"/>
          <w:lang w:val="en-US" w:eastAsia="zh-CN"/>
        </w:rPr>
      </w:pPr>
      <w:r>
        <w:rPr>
          <w:rFonts w:hint="eastAsia"/>
          <w:lang w:val="en-US" w:eastAsia="zh-CN"/>
        </w:rPr>
        <w:t>Figure 4 Prediction delay</w:t>
      </w:r>
    </w:p>
    <w:p>
      <w:pPr>
        <w:jc w:val="both"/>
        <w:rPr>
          <w:rFonts w:hint="eastAsia"/>
          <w:lang w:val="en-US" w:eastAsia="zh-CN"/>
        </w:rPr>
      </w:pPr>
      <w:r>
        <w:rPr>
          <w:rFonts w:hint="eastAsia"/>
          <w:lang w:val="en-US" w:eastAsia="zh-CN"/>
        </w:rPr>
        <w:t>Based on figure 3, we think that the whole processing delay contains three parts, the starting point is collection of input data and the ending point is UE reporting the predicted results to gNB:</w:t>
      </w:r>
    </w:p>
    <w:p>
      <w:pPr>
        <w:numPr>
          <w:ilvl w:val="0"/>
          <w:numId w:val="18"/>
        </w:numPr>
        <w:ind w:left="420" w:hanging="420"/>
        <w:jc w:val="both"/>
        <w:rPr>
          <w:rFonts w:hint="eastAsia"/>
          <w:lang w:val="en-US" w:eastAsia="zh-CN"/>
        </w:rPr>
      </w:pPr>
      <w:r>
        <w:rPr>
          <w:rFonts w:hint="eastAsia"/>
          <w:lang w:val="en-US" w:eastAsia="zh-CN"/>
        </w:rPr>
        <w:t>Measurement delay: The time for measurement of SetB which is the input for inference.</w:t>
      </w:r>
    </w:p>
    <w:p>
      <w:pPr>
        <w:numPr>
          <w:ilvl w:val="0"/>
          <w:numId w:val="18"/>
        </w:numPr>
        <w:ind w:left="420" w:hanging="420"/>
        <w:jc w:val="both"/>
        <w:rPr>
          <w:rFonts w:hint="eastAsia"/>
          <w:lang w:val="en-US" w:eastAsia="zh-CN"/>
        </w:rPr>
      </w:pPr>
      <w:r>
        <w:rPr>
          <w:rFonts w:hint="eastAsia"/>
          <w:lang w:val="en-US" w:eastAsia="zh-CN"/>
        </w:rPr>
        <w:t>Inference delay: The time for inference from starting performing inference to generate the prediction results.</w:t>
      </w:r>
    </w:p>
    <w:p>
      <w:pPr>
        <w:numPr>
          <w:ilvl w:val="0"/>
          <w:numId w:val="18"/>
        </w:numPr>
        <w:ind w:left="420" w:hanging="420"/>
        <w:jc w:val="both"/>
        <w:rPr>
          <w:rFonts w:hint="default"/>
          <w:lang w:val="en-US" w:eastAsia="zh-CN"/>
        </w:rPr>
      </w:pPr>
      <w:r>
        <w:rPr>
          <w:rFonts w:hint="eastAsia"/>
          <w:lang w:val="en-US" w:eastAsia="zh-CN"/>
        </w:rPr>
        <w:t xml:space="preserve">Reporting delay: </w:t>
      </w:r>
      <w:r>
        <w:rPr>
          <w:rFonts w:hint="eastAsia"/>
          <w:lang w:eastAsia="zh-CN"/>
        </w:rPr>
        <w:t xml:space="preserve">The time between </w:t>
      </w:r>
      <w:r>
        <w:rPr>
          <w:rFonts w:hint="eastAsia"/>
          <w:lang w:val="en-US" w:eastAsia="zh-CN"/>
        </w:rPr>
        <w:t xml:space="preserve">the </w:t>
      </w:r>
      <w:r>
        <w:rPr>
          <w:rFonts w:hint="eastAsia"/>
          <w:lang w:eastAsia="zh-CN"/>
        </w:rPr>
        <w:t>report</w:t>
      </w:r>
      <w:r>
        <w:rPr>
          <w:rFonts w:hint="eastAsia"/>
          <w:lang w:val="en-US" w:eastAsia="zh-CN"/>
        </w:rPr>
        <w:t xml:space="preserve"> triggering</w:t>
      </w:r>
      <w:r>
        <w:rPr>
          <w:rFonts w:hint="eastAsia"/>
          <w:lang w:eastAsia="zh-CN"/>
        </w:rPr>
        <w:t xml:space="preserve"> and the point when the UE starts to transmit the outputs over the air.</w:t>
      </w:r>
      <w:r>
        <w:rPr>
          <w:rFonts w:hint="eastAsia"/>
          <w:lang w:val="en-US" w:eastAsia="zh-CN"/>
        </w:rPr>
        <w:t>.</w:t>
      </w:r>
    </w:p>
    <w:p>
      <w:pPr>
        <w:numPr>
          <w:ilvl w:val="-1"/>
          <w:numId w:val="0"/>
        </w:numPr>
        <w:ind w:left="0" w:firstLine="0"/>
        <w:jc w:val="both"/>
        <w:rPr>
          <w:rFonts w:hint="eastAsia"/>
          <w:b/>
          <w:bCs/>
          <w:lang w:val="en-US" w:eastAsia="zh-CN"/>
        </w:rPr>
      </w:pPr>
      <w:r>
        <w:rPr>
          <w:rFonts w:hint="eastAsia"/>
          <w:b/>
          <w:bCs/>
          <w:lang w:val="en-US" w:eastAsia="zh-CN"/>
        </w:rPr>
        <w:t>Proposal 11: The potential components in prediction delay contains three parts:</w:t>
      </w:r>
    </w:p>
    <w:p>
      <w:pPr>
        <w:numPr>
          <w:ilvl w:val="0"/>
          <w:numId w:val="18"/>
        </w:numPr>
        <w:ind w:left="420" w:hanging="420"/>
        <w:jc w:val="both"/>
        <w:rPr>
          <w:rFonts w:hint="eastAsia"/>
          <w:b/>
          <w:bCs/>
          <w:lang w:val="en-US" w:eastAsia="zh-CN"/>
        </w:rPr>
      </w:pPr>
      <w:r>
        <w:rPr>
          <w:rFonts w:hint="eastAsia"/>
          <w:b/>
          <w:bCs/>
          <w:lang w:val="en-US" w:eastAsia="zh-CN"/>
        </w:rPr>
        <w:t>Measurement delay: The time for measurement of SetB which is the input for inference.</w:t>
      </w:r>
    </w:p>
    <w:p>
      <w:pPr>
        <w:numPr>
          <w:ilvl w:val="0"/>
          <w:numId w:val="18"/>
        </w:numPr>
        <w:ind w:left="420" w:hanging="420"/>
        <w:jc w:val="both"/>
        <w:rPr>
          <w:rFonts w:hint="eastAsia"/>
          <w:b/>
          <w:bCs/>
          <w:lang w:val="en-US" w:eastAsia="zh-CN"/>
        </w:rPr>
      </w:pPr>
      <w:r>
        <w:rPr>
          <w:rFonts w:hint="eastAsia"/>
          <w:b/>
          <w:bCs/>
          <w:lang w:val="en-US" w:eastAsia="zh-CN"/>
        </w:rPr>
        <w:t>Inference delay: The time for inference from starting performing inference to generate the prediction results.</w:t>
      </w:r>
    </w:p>
    <w:p>
      <w:pPr>
        <w:numPr>
          <w:ilvl w:val="0"/>
          <w:numId w:val="18"/>
        </w:numPr>
        <w:ind w:left="420" w:hanging="420"/>
        <w:jc w:val="both"/>
        <w:rPr>
          <w:rFonts w:hint="default"/>
          <w:b/>
          <w:bCs/>
          <w:lang w:val="en-US" w:eastAsia="zh-CN"/>
        </w:rPr>
      </w:pPr>
      <w:r>
        <w:rPr>
          <w:rFonts w:hint="eastAsia"/>
          <w:b/>
          <w:bCs/>
          <w:highlight w:val="none"/>
          <w:lang w:val="en-US" w:eastAsia="zh-CN"/>
        </w:rPr>
        <w:t>Reporting delay: The time between the report triggering and the point when the UE starts to transmit the outputs over the air.</w:t>
      </w:r>
    </w:p>
    <w:p>
      <w:pPr>
        <w:spacing w:before="161" w:beforeLines="50" w:after="161" w:afterLines="50"/>
        <w:jc w:val="both"/>
        <w:rPr>
          <w:rFonts w:hint="eastAsia"/>
          <w:b/>
          <w:bCs/>
          <w:i/>
          <w:iCs/>
          <w:lang w:val="en-US" w:eastAsia="zh-CN"/>
        </w:rPr>
      </w:pPr>
      <w:r>
        <w:rPr>
          <w:rFonts w:hint="eastAsia"/>
          <w:b/>
          <w:bCs/>
          <w:i/>
          <w:iCs/>
          <w:lang w:val="en-US" w:eastAsia="zh-CN"/>
        </w:rPr>
        <w:t>How to define the prediction delay requirements</w:t>
      </w:r>
    </w:p>
    <w:p>
      <w:pPr>
        <w:numPr>
          <w:ilvl w:val="-1"/>
          <w:numId w:val="0"/>
        </w:numPr>
        <w:ind w:left="0" w:firstLine="0"/>
        <w:jc w:val="both"/>
        <w:rPr>
          <w:rFonts w:hint="eastAsia"/>
          <w:lang w:val="en-US" w:eastAsia="zh-CN"/>
        </w:rPr>
      </w:pPr>
      <w:r>
        <w:rPr>
          <w:rFonts w:hint="eastAsia"/>
          <w:lang w:val="en-US" w:eastAsia="zh-CN"/>
        </w:rPr>
        <w:t xml:space="preserve">We have studied the whole AI beam prediction delay which contains three parts. Actually, we shall define the separate delay requirements and then combine with them to confirm the whole AI beam prediction delay. </w:t>
      </w:r>
    </w:p>
    <w:p>
      <w:pPr>
        <w:numPr>
          <w:ilvl w:val="-1"/>
          <w:numId w:val="0"/>
        </w:numPr>
        <w:ind w:left="0" w:firstLine="0"/>
        <w:jc w:val="both"/>
        <w:rPr>
          <w:rFonts w:hint="eastAsia"/>
          <w:lang w:val="en-US" w:eastAsia="zh-CN"/>
        </w:rPr>
      </w:pPr>
      <w:r>
        <w:rPr>
          <w:rFonts w:hint="eastAsia"/>
          <w:lang w:val="en-US" w:eastAsia="zh-CN"/>
        </w:rPr>
        <w:t>However, there is an agreement related to inference delay in RAN1 meeting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7" w:type="dxa"/>
          </w:tcPr>
          <w:p>
            <w:pPr>
              <w:spacing w:before="120" w:beforeLines="50" w:after="120" w:afterLines="50"/>
              <w:rPr>
                <w:lang w:eastAsia="zh-CN"/>
              </w:rPr>
            </w:pPr>
            <w:r>
              <w:rPr>
                <w:rFonts w:hint="eastAsia"/>
                <w:highlight w:val="green"/>
                <w:lang w:eastAsia="zh-CN"/>
              </w:rPr>
              <w:t>A</w:t>
            </w:r>
            <w:r>
              <w:rPr>
                <w:highlight w:val="green"/>
                <w:lang w:eastAsia="zh-CN"/>
              </w:rPr>
              <w:t>greement:</w:t>
            </w:r>
            <w:r>
              <w:rPr>
                <w:lang w:eastAsia="zh-CN"/>
              </w:rPr>
              <w:t xml:space="preserve"> </w:t>
            </w:r>
          </w:p>
          <w:p>
            <w:pPr>
              <w:pStyle w:val="31"/>
              <w:numPr>
                <w:ilvl w:val="0"/>
                <w:numId w:val="19"/>
              </w:numPr>
              <w:overflowPunct w:val="0"/>
              <w:autoSpaceDE w:val="0"/>
              <w:autoSpaceDN w:val="0"/>
              <w:adjustRightInd w:val="0"/>
              <w:spacing w:before="120" w:beforeLines="50" w:after="120" w:afterLines="50"/>
              <w:contextualSpacing w:val="0"/>
              <w:textAlignment w:val="baseline"/>
              <w:rPr>
                <w:sz w:val="20"/>
                <w:szCs w:val="20"/>
                <w:lang w:eastAsia="zh-CN"/>
              </w:rPr>
            </w:pPr>
            <w:r>
              <w:rPr>
                <w:rFonts w:eastAsia="游明朝"/>
                <w:sz w:val="20"/>
                <w:szCs w:val="20"/>
                <w:lang w:eastAsia="ja-JP"/>
              </w:rPr>
              <w:t>Use the following as the starting point</w:t>
            </w:r>
          </w:p>
          <w:p>
            <w:pPr>
              <w:pStyle w:val="31"/>
              <w:numPr>
                <w:ilvl w:val="1"/>
                <w:numId w:val="19"/>
              </w:numPr>
              <w:overflowPunct w:val="0"/>
              <w:autoSpaceDE w:val="0"/>
              <w:autoSpaceDN w:val="0"/>
              <w:adjustRightInd w:val="0"/>
              <w:spacing w:before="120" w:beforeLines="50" w:after="120" w:afterLines="50"/>
              <w:contextualSpacing w:val="0"/>
              <w:textAlignment w:val="baseline"/>
              <w:rPr>
                <w:sz w:val="20"/>
                <w:szCs w:val="20"/>
                <w:lang w:eastAsia="zh-CN"/>
              </w:rPr>
            </w:pPr>
            <w:r>
              <w:rPr>
                <w:rFonts w:eastAsia="游明朝"/>
                <w:sz w:val="20"/>
                <w:szCs w:val="20"/>
                <w:lang w:eastAsia="ja-JP"/>
              </w:rPr>
              <w:t>I</w:t>
            </w:r>
            <w:r>
              <w:rPr>
                <w:rFonts w:hint="eastAsia" w:eastAsia="游明朝"/>
                <w:sz w:val="20"/>
                <w:szCs w:val="20"/>
                <w:lang w:eastAsia="ja-JP"/>
              </w:rPr>
              <w:t xml:space="preserve">nference latency </w:t>
            </w:r>
            <w:r>
              <w:rPr>
                <w:rFonts w:eastAsia="游明朝"/>
                <w:sz w:val="20"/>
                <w:szCs w:val="20"/>
                <w:lang w:eastAsia="ja-JP"/>
              </w:rPr>
              <w:t>can</w:t>
            </w:r>
            <w:r>
              <w:rPr>
                <w:rFonts w:hint="eastAsia" w:eastAsia="游明朝"/>
                <w:sz w:val="20"/>
                <w:szCs w:val="20"/>
                <w:lang w:eastAsia="ja-JP"/>
              </w:rPr>
              <w:t xml:space="preserve"> be </w:t>
            </w:r>
            <w:r>
              <w:rPr>
                <w:rFonts w:eastAsia="游明朝"/>
                <w:sz w:val="20"/>
                <w:szCs w:val="20"/>
                <w:lang w:eastAsia="ja-JP"/>
              </w:rPr>
              <w:t>implicitly</w:t>
            </w:r>
            <w:r>
              <w:rPr>
                <w:rFonts w:hint="eastAsia" w:eastAsia="游明朝"/>
                <w:sz w:val="20"/>
                <w:szCs w:val="20"/>
                <w:lang w:eastAsia="ja-JP"/>
              </w:rPr>
              <w:t xml:space="preserve"> captured in the delay of corresponding procedures</w:t>
            </w:r>
            <w:r>
              <w:rPr>
                <w:rFonts w:eastAsia="游明朝"/>
                <w:sz w:val="20"/>
                <w:szCs w:val="20"/>
                <w:lang w:eastAsia="ja-JP"/>
              </w:rPr>
              <w:t xml:space="preserve"> </w:t>
            </w:r>
            <w:r>
              <w:rPr>
                <w:rFonts w:hint="eastAsia" w:eastAsia="游明朝"/>
                <w:sz w:val="20"/>
                <w:szCs w:val="20"/>
                <w:lang w:eastAsia="ja-JP"/>
              </w:rPr>
              <w:t>(e.g. reporting delay)</w:t>
            </w:r>
            <w:r>
              <w:rPr>
                <w:rFonts w:eastAsia="游明朝"/>
                <w:sz w:val="20"/>
                <w:szCs w:val="20"/>
                <w:lang w:eastAsia="ja-JP"/>
              </w:rPr>
              <w:t xml:space="preserve"> </w:t>
            </w:r>
            <w:r>
              <w:rPr>
                <w:rFonts w:hint="eastAsia" w:eastAsia="游明朝"/>
                <w:sz w:val="20"/>
                <w:szCs w:val="20"/>
                <w:lang w:eastAsia="ja-JP"/>
              </w:rPr>
              <w:t>and/or performance requirements</w:t>
            </w:r>
            <w:r>
              <w:rPr>
                <w:rFonts w:eastAsia="游明朝"/>
                <w:sz w:val="20"/>
                <w:szCs w:val="20"/>
                <w:lang w:eastAsia="ja-JP"/>
              </w:rPr>
              <w:t>.</w:t>
            </w:r>
          </w:p>
          <w:p>
            <w:pPr>
              <w:pStyle w:val="31"/>
              <w:numPr>
                <w:ilvl w:val="1"/>
                <w:numId w:val="19"/>
              </w:numPr>
              <w:overflowPunct w:val="0"/>
              <w:autoSpaceDE w:val="0"/>
              <w:autoSpaceDN w:val="0"/>
              <w:adjustRightInd w:val="0"/>
              <w:spacing w:before="120" w:beforeLines="50" w:after="120" w:afterLines="50"/>
              <w:contextualSpacing w:val="0"/>
              <w:textAlignment w:val="baseline"/>
              <w:rPr>
                <w:sz w:val="20"/>
                <w:szCs w:val="20"/>
                <w:lang w:eastAsia="zh-CN"/>
              </w:rPr>
            </w:pPr>
            <w:r>
              <w:rPr>
                <w:rFonts w:hint="eastAsia" w:eastAsia="游明朝"/>
                <w:sz w:val="20"/>
                <w:szCs w:val="20"/>
                <w:lang w:eastAsia="ja-JP"/>
              </w:rPr>
              <w:t>I</w:t>
            </w:r>
            <w:r>
              <w:rPr>
                <w:rFonts w:eastAsia="游明朝"/>
                <w:sz w:val="20"/>
                <w:szCs w:val="20"/>
                <w:lang w:eastAsia="ja-JP"/>
              </w:rPr>
              <w:t>nference latency is part of delay of the corresponding procedure and no separate requirement will be specified for inference latency.</w:t>
            </w:r>
          </w:p>
          <w:p>
            <w:pPr>
              <w:pStyle w:val="31"/>
              <w:numPr>
                <w:ilvl w:val="1"/>
                <w:numId w:val="19"/>
              </w:numPr>
              <w:overflowPunct w:val="0"/>
              <w:autoSpaceDE w:val="0"/>
              <w:autoSpaceDN w:val="0"/>
              <w:adjustRightInd w:val="0"/>
              <w:spacing w:before="120" w:beforeLines="50" w:after="120" w:afterLines="50"/>
              <w:contextualSpacing w:val="0"/>
              <w:textAlignment w:val="baseline"/>
              <w:rPr>
                <w:sz w:val="20"/>
                <w:szCs w:val="20"/>
                <w:lang w:eastAsia="zh-CN"/>
              </w:rPr>
            </w:pPr>
            <w:r>
              <w:rPr>
                <w:rFonts w:hint="eastAsia" w:eastAsia="游明朝"/>
                <w:sz w:val="20"/>
                <w:szCs w:val="20"/>
                <w:lang w:eastAsia="ja-JP"/>
              </w:rPr>
              <w:t>C</w:t>
            </w:r>
            <w:r>
              <w:rPr>
                <w:rFonts w:eastAsia="游明朝"/>
                <w:sz w:val="20"/>
                <w:szCs w:val="20"/>
                <w:lang w:eastAsia="ja-JP"/>
              </w:rPr>
              <w:t>heck the above bullets based on per use case, and if other WGs define the inference latency, RAN4 can revisit the above bullets.</w:t>
            </w:r>
          </w:p>
        </w:tc>
      </w:tr>
    </w:tbl>
    <w:p>
      <w:pPr>
        <w:numPr>
          <w:ilvl w:val="-1"/>
          <w:numId w:val="0"/>
        </w:numPr>
        <w:spacing w:before="161" w:beforeLines="50" w:after="161" w:afterLines="50"/>
        <w:ind w:left="0" w:firstLine="0"/>
        <w:jc w:val="both"/>
        <w:rPr>
          <w:rFonts w:hint="eastAsia"/>
          <w:lang w:val="en-US" w:eastAsia="zh-CN"/>
        </w:rPr>
      </w:pPr>
      <w:r>
        <w:rPr>
          <w:rFonts w:hint="eastAsia"/>
          <w:lang w:val="en-US" w:eastAsia="zh-CN"/>
        </w:rPr>
        <w:t>It is observed that inference latency will be implicitly captured in the delay of corresponding procedures and RAN4 shall not define the separate requirements for inference latency. RAN1 has not define the inference latency so far, so RAN4 shall define other requirements including inference latency implicitly. The above agreement suggests that the inference latency could be captured in reporting delay, so figure 3 shall be modified as below:</w:t>
      </w:r>
    </w:p>
    <w:p>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3753485" cy="1334135"/>
            <wp:effectExtent l="0" t="0" r="10795" b="0"/>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8"/>
                    <a:stretch>
                      <a:fillRect/>
                    </a:stretch>
                  </pic:blipFill>
                  <pic:spPr>
                    <a:xfrm>
                      <a:off x="0" y="0"/>
                      <a:ext cx="3753485" cy="1334135"/>
                    </a:xfrm>
                    <a:prstGeom prst="rect">
                      <a:avLst/>
                    </a:prstGeom>
                    <a:noFill/>
                    <a:ln w="9525">
                      <a:noFill/>
                    </a:ln>
                  </pic:spPr>
                </pic:pic>
              </a:graphicData>
            </a:graphic>
          </wp:inline>
        </w:drawing>
      </w:r>
    </w:p>
    <w:p>
      <w:pPr>
        <w:keepNext w:val="0"/>
        <w:keepLines w:val="0"/>
        <w:widowControl/>
        <w:suppressLineNumbers w:val="0"/>
        <w:jc w:val="center"/>
        <w:rPr>
          <w:rFonts w:hint="default" w:eastAsia="宋体"/>
          <w:lang w:val="en-US" w:eastAsia="zh-CN"/>
        </w:rPr>
      </w:pPr>
      <w:r>
        <w:rPr>
          <w:rFonts w:hint="eastAsia" w:eastAsia="宋体"/>
          <w:lang w:val="en-US" w:eastAsia="zh-CN"/>
        </w:rPr>
        <w:t>Figure 5 Modified prediction delay</w:t>
      </w:r>
    </w:p>
    <w:p>
      <w:pPr>
        <w:numPr>
          <w:ilvl w:val="-1"/>
          <w:numId w:val="0"/>
        </w:numPr>
        <w:spacing w:before="161" w:beforeLines="50" w:after="161" w:afterLines="50"/>
        <w:ind w:left="0" w:firstLine="0"/>
        <w:jc w:val="both"/>
        <w:rPr>
          <w:rFonts w:hint="eastAsia"/>
          <w:lang w:val="en-US" w:eastAsia="zh-CN"/>
        </w:rPr>
      </w:pPr>
      <w:r>
        <w:rPr>
          <w:rFonts w:hint="eastAsia"/>
          <w:highlight w:val="none"/>
          <w:lang w:val="en-US" w:eastAsia="zh-CN"/>
        </w:rPr>
        <w:t>For measurement delay,</w:t>
      </w:r>
      <w:r>
        <w:rPr>
          <w:rFonts w:hint="eastAsia"/>
          <w:lang w:val="en-US" w:eastAsia="zh-CN"/>
        </w:rPr>
        <w:t xml:space="preserve"> the legacy requirements is below:</w:t>
      </w:r>
    </w:p>
    <w:p>
      <w:pPr>
        <w:numPr>
          <w:ilvl w:val="-1"/>
          <w:numId w:val="0"/>
        </w:numPr>
        <w:ind w:left="0" w:firstLine="0"/>
        <w:jc w:val="center"/>
        <w:rPr>
          <w:rFonts w:hint="default"/>
          <w:lang w:val="en-US" w:eastAsia="zh-CN"/>
        </w:rPr>
      </w:pPr>
      <w:r>
        <w:rPr>
          <w:rFonts w:hint="eastAsia"/>
          <w:lang w:val="en-US" w:eastAsia="zh-CN"/>
        </w:rPr>
        <w:t>Table 2 Measurement period for FR2</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36"/>
              <w:rPr>
                <w:sz w:val="18"/>
                <w:szCs w:val="20"/>
              </w:rPr>
            </w:pPr>
            <w:r>
              <w:rPr>
                <w:sz w:val="18"/>
                <w:szCs w:val="20"/>
              </w:rPr>
              <w:t>Configuration</w:t>
            </w:r>
          </w:p>
        </w:tc>
        <w:tc>
          <w:tcPr>
            <w:tcW w:w="4582" w:type="dxa"/>
            <w:tcBorders>
              <w:top w:val="single" w:color="auto" w:sz="4" w:space="0"/>
              <w:left w:val="single" w:color="auto" w:sz="4" w:space="0"/>
              <w:bottom w:val="single" w:color="auto" w:sz="4" w:space="0"/>
              <w:right w:val="single" w:color="auto" w:sz="4" w:space="0"/>
            </w:tcBorders>
          </w:tcPr>
          <w:p>
            <w:pPr>
              <w:pStyle w:val="36"/>
              <w:rPr>
                <w:sz w:val="18"/>
                <w:szCs w:val="20"/>
              </w:rPr>
            </w:pPr>
            <w:r>
              <w:rPr>
                <w:sz w:val="18"/>
                <w:szCs w:val="20"/>
              </w:rPr>
              <w:t>T</w:t>
            </w:r>
            <w:r>
              <w:rPr>
                <w:sz w:val="18"/>
                <w:szCs w:val="20"/>
                <w:vertAlign w:val="subscript"/>
              </w:rPr>
              <w:t>L1-RSRP_Measurement_Period_SSB</w:t>
            </w:r>
            <w:r>
              <w:rPr>
                <w:sz w:val="18"/>
                <w:szCs w:val="20"/>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37"/>
              <w:rPr>
                <w:sz w:val="18"/>
                <w:szCs w:val="20"/>
              </w:rPr>
            </w:pPr>
            <w:r>
              <w:rPr>
                <w:sz w:val="18"/>
                <w:szCs w:val="20"/>
              </w:rPr>
              <w:t>non-DRX</w:t>
            </w:r>
          </w:p>
        </w:tc>
        <w:tc>
          <w:tcPr>
            <w:tcW w:w="4582" w:type="dxa"/>
            <w:tcBorders>
              <w:top w:val="single" w:color="auto" w:sz="4" w:space="0"/>
              <w:left w:val="single" w:color="auto" w:sz="4" w:space="0"/>
              <w:bottom w:val="single" w:color="auto" w:sz="4" w:space="0"/>
              <w:right w:val="single" w:color="auto" w:sz="4" w:space="0"/>
            </w:tcBorders>
          </w:tcPr>
          <w:p>
            <w:pPr>
              <w:pStyle w:val="37"/>
              <w:rPr>
                <w:sz w:val="18"/>
                <w:szCs w:val="20"/>
                <w:lang w:val="fr-FR"/>
              </w:rPr>
            </w:pPr>
            <w:r>
              <w:rPr>
                <w:rFonts w:cs="v4.2.0"/>
                <w:sz w:val="18"/>
                <w:szCs w:val="20"/>
                <w:lang w:val="fr-FR"/>
              </w:rPr>
              <w:t>max(T</w:t>
            </w:r>
            <w:r>
              <w:rPr>
                <w:rFonts w:cs="v4.2.0"/>
                <w:sz w:val="18"/>
                <w:szCs w:val="20"/>
                <w:vertAlign w:val="subscript"/>
                <w:lang w:val="fr-FR"/>
              </w:rPr>
              <w:t>Report</w:t>
            </w:r>
            <w:r>
              <w:rPr>
                <w:rFonts w:cs="v4.2.0"/>
                <w:sz w:val="18"/>
                <w:szCs w:val="20"/>
                <w:lang w:val="fr-FR"/>
              </w:rPr>
              <w:t>, ceil(M*P*N)*T</w:t>
            </w:r>
            <w:r>
              <w:rPr>
                <w:rFonts w:cs="v4.2.0"/>
                <w:sz w:val="18"/>
                <w:szCs w:val="20"/>
                <w:vertAlign w:val="subscript"/>
                <w:lang w:val="fr-FR"/>
              </w:rPr>
              <w:t>SSB</w:t>
            </w:r>
            <w:r>
              <w:rPr>
                <w:rFonts w:cs="v4.2.0"/>
                <w:sz w:val="18"/>
                <w:szCs w:val="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37"/>
              <w:rPr>
                <w:sz w:val="18"/>
                <w:szCs w:val="20"/>
              </w:rPr>
            </w:pPr>
            <w:r>
              <w:rPr>
                <w:sz w:val="18"/>
                <w:szCs w:val="20"/>
              </w:rPr>
              <w:t xml:space="preserve">DRX cycle </w:t>
            </w:r>
            <w:r>
              <w:rPr>
                <w:rFonts w:hint="eastAsia" w:cs="Arial"/>
                <w:sz w:val="18"/>
                <w:szCs w:val="20"/>
              </w:rPr>
              <w:t>≤</w:t>
            </w:r>
            <w:r>
              <w:rPr>
                <w:rFonts w:cs="Arial"/>
                <w:sz w:val="18"/>
                <w:szCs w:val="20"/>
              </w:rPr>
              <w:t xml:space="preserve"> </w:t>
            </w:r>
            <w:r>
              <w:rPr>
                <w:sz w:val="18"/>
                <w:szCs w:val="20"/>
              </w:rPr>
              <w:t>320ms</w:t>
            </w:r>
          </w:p>
        </w:tc>
        <w:tc>
          <w:tcPr>
            <w:tcW w:w="4582" w:type="dxa"/>
            <w:tcBorders>
              <w:top w:val="single" w:color="auto" w:sz="4" w:space="0"/>
              <w:left w:val="single" w:color="auto" w:sz="4" w:space="0"/>
              <w:bottom w:val="single" w:color="auto" w:sz="4" w:space="0"/>
              <w:right w:val="single" w:color="auto" w:sz="4" w:space="0"/>
            </w:tcBorders>
          </w:tcPr>
          <w:p>
            <w:pPr>
              <w:pStyle w:val="37"/>
              <w:rPr>
                <w:sz w:val="18"/>
                <w:szCs w:val="20"/>
                <w:lang w:val="fr-FR"/>
              </w:rPr>
            </w:pPr>
            <w:r>
              <w:rPr>
                <w:rFonts w:cs="v4.2.0"/>
                <w:sz w:val="18"/>
                <w:szCs w:val="20"/>
                <w:lang w:val="fr-FR"/>
              </w:rPr>
              <w:t>max(T</w:t>
            </w:r>
            <w:r>
              <w:rPr>
                <w:rFonts w:cs="v4.2.0"/>
                <w:sz w:val="18"/>
                <w:szCs w:val="20"/>
                <w:vertAlign w:val="subscript"/>
                <w:lang w:val="fr-FR"/>
              </w:rPr>
              <w:t>Report</w:t>
            </w:r>
            <w:r>
              <w:rPr>
                <w:rFonts w:cs="v4.2.0"/>
                <w:sz w:val="18"/>
                <w:szCs w:val="20"/>
                <w:lang w:val="fr-FR"/>
              </w:rPr>
              <w:t>, ceil(1.5*M*P*N)*max(T</w:t>
            </w:r>
            <w:r>
              <w:rPr>
                <w:rFonts w:cs="v4.2.0"/>
                <w:sz w:val="18"/>
                <w:szCs w:val="20"/>
                <w:vertAlign w:val="subscript"/>
                <w:lang w:val="fr-FR"/>
              </w:rPr>
              <w:t>DRX</w:t>
            </w:r>
            <w:r>
              <w:rPr>
                <w:rFonts w:cs="v4.2.0"/>
                <w:sz w:val="18"/>
                <w:szCs w:val="20"/>
                <w:lang w:val="fr-FR"/>
              </w:rPr>
              <w:t>,T</w:t>
            </w:r>
            <w:r>
              <w:rPr>
                <w:rFonts w:cs="v4.2.0"/>
                <w:sz w:val="18"/>
                <w:szCs w:val="20"/>
                <w:vertAlign w:val="subscript"/>
                <w:lang w:val="fr-FR"/>
              </w:rPr>
              <w:t>SSB</w:t>
            </w:r>
            <w:r>
              <w:rPr>
                <w:rFonts w:cs="v4.2.0"/>
                <w:sz w:val="18"/>
                <w:szCs w:val="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37"/>
              <w:rPr>
                <w:sz w:val="18"/>
                <w:szCs w:val="20"/>
              </w:rPr>
            </w:pPr>
            <w:r>
              <w:rPr>
                <w:sz w:val="18"/>
                <w:szCs w:val="20"/>
              </w:rP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37"/>
              <w:rPr>
                <w:sz w:val="18"/>
                <w:szCs w:val="20"/>
                <w:lang w:val="fr-FR"/>
              </w:rPr>
            </w:pPr>
            <w:r>
              <w:rPr>
                <w:rFonts w:cs="v4.2.0"/>
                <w:sz w:val="18"/>
                <w:szCs w:val="20"/>
                <w:lang w:val="fr-FR"/>
              </w:rPr>
              <w:t>ceil(1.5*M*P*N)*T</w:t>
            </w:r>
            <w:r>
              <w:rPr>
                <w:rFonts w:cs="v4.2.0"/>
                <w:sz w:val="18"/>
                <w:szCs w:val="20"/>
                <w:vertAlign w:val="subscript"/>
                <w:lang w:val="fr-F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55"/>
              <w:rPr>
                <w:rFonts w:cs="v4.2.0"/>
                <w:sz w:val="18"/>
                <w:szCs w:val="20"/>
              </w:rPr>
            </w:pPr>
            <w:r>
              <w:rPr>
                <w:sz w:val="18"/>
                <w:szCs w:val="20"/>
              </w:rPr>
              <w:t>Note:</w:t>
            </w:r>
            <w:r>
              <w:rPr>
                <w:sz w:val="18"/>
                <w:szCs w:val="20"/>
              </w:rPr>
              <w:tab/>
            </w:r>
            <w:r>
              <w:rPr>
                <w:rFonts w:cs="v4.2.0"/>
                <w:sz w:val="18"/>
                <w:szCs w:val="20"/>
              </w:rPr>
              <w:t>T</w:t>
            </w:r>
            <w:r>
              <w:rPr>
                <w:rFonts w:cs="v4.2.0"/>
                <w:sz w:val="18"/>
                <w:szCs w:val="20"/>
                <w:vertAlign w:val="subscript"/>
              </w:rPr>
              <w:t>SSB</w:t>
            </w:r>
            <w:r>
              <w:rPr>
                <w:sz w:val="18"/>
                <w:szCs w:val="20"/>
              </w:rPr>
              <w:t xml:space="preserve"> = ssb-periodicityServingCell is the periodicity of the SSB-Index configured for L1-RSRP measurement.</w:t>
            </w:r>
            <w:r>
              <w:rPr>
                <w:rFonts w:cs="v4.2.0"/>
                <w:sz w:val="18"/>
                <w:szCs w:val="20"/>
              </w:rPr>
              <w:t xml:space="preserve"> T</w:t>
            </w:r>
            <w:r>
              <w:rPr>
                <w:rFonts w:cs="v4.2.0"/>
                <w:sz w:val="18"/>
                <w:szCs w:val="20"/>
                <w:vertAlign w:val="subscript"/>
              </w:rPr>
              <w:t>DRX</w:t>
            </w:r>
            <w:r>
              <w:rPr>
                <w:sz w:val="18"/>
                <w:szCs w:val="20"/>
              </w:rPr>
              <w:t xml:space="preserve"> is the DRX cycle length. </w:t>
            </w:r>
            <w:r>
              <w:rPr>
                <w:rFonts w:cs="v4.2.0"/>
                <w:sz w:val="18"/>
                <w:szCs w:val="20"/>
              </w:rPr>
              <w:t>T</w:t>
            </w:r>
            <w:r>
              <w:rPr>
                <w:rFonts w:cs="v4.2.0"/>
                <w:sz w:val="18"/>
                <w:szCs w:val="20"/>
                <w:vertAlign w:val="subscript"/>
              </w:rPr>
              <w:t>Report</w:t>
            </w:r>
            <w:r>
              <w:rPr>
                <w:sz w:val="18"/>
                <w:szCs w:val="20"/>
              </w:rPr>
              <w:t xml:space="preserve"> is configured periodicity for reporting.</w:t>
            </w:r>
          </w:p>
        </w:tc>
      </w:tr>
    </w:tbl>
    <w:p>
      <w:pPr>
        <w:numPr>
          <w:ilvl w:val="-1"/>
          <w:numId w:val="0"/>
        </w:numPr>
        <w:spacing w:before="161" w:beforeLines="50" w:after="161" w:afterLines="50"/>
        <w:ind w:left="0" w:firstLine="0"/>
        <w:jc w:val="both"/>
        <w:rPr>
          <w:rFonts w:hint="eastAsia"/>
          <w:lang w:val="en-US" w:eastAsia="zh-CN"/>
        </w:rPr>
      </w:pPr>
      <w:r>
        <w:rPr>
          <w:rFonts w:hint="eastAsia"/>
          <w:lang w:val="en-US" w:eastAsia="zh-CN"/>
        </w:rPr>
        <w:t xml:space="preserve">Based on the current spec, the legacy L1-RSRP measurement period is based on one-shot measurement. One shot measurement means the number of measured sample is one. For L1-RSRP measurement period, the number of M equals 1 or 3, where M=3 includes two samples to do the AGC and only one sample is used for measurement. The L1-RSRP measurement period owns sharing factor </w:t>
      </w:r>
      <w:r>
        <w:rPr>
          <w:rFonts w:hint="default"/>
          <w:lang w:val="en-US" w:eastAsia="zh-CN"/>
        </w:rPr>
        <w:t>”</w:t>
      </w:r>
      <w:r>
        <w:rPr>
          <w:rFonts w:hint="eastAsia"/>
          <w:lang w:val="en-US" w:eastAsia="zh-CN"/>
        </w:rPr>
        <w:t>P</w:t>
      </w:r>
      <w:r>
        <w:rPr>
          <w:rFonts w:hint="default"/>
          <w:lang w:val="en-US" w:eastAsia="zh-CN"/>
        </w:rPr>
        <w:t>”</w:t>
      </w:r>
      <w:r>
        <w:rPr>
          <w:rFonts w:hint="eastAsia"/>
          <w:lang w:val="en-US" w:eastAsia="zh-CN"/>
        </w:rPr>
        <w:t xml:space="preserve">, number of sample </w:t>
      </w:r>
      <w:r>
        <w:rPr>
          <w:rFonts w:hint="default"/>
          <w:lang w:val="en-US" w:eastAsia="zh-CN"/>
        </w:rPr>
        <w:t>“</w:t>
      </w:r>
      <w:r>
        <w:rPr>
          <w:rFonts w:hint="eastAsia"/>
          <w:lang w:val="en-US" w:eastAsia="zh-CN"/>
        </w:rPr>
        <w:t>M</w:t>
      </w:r>
      <w:r>
        <w:rPr>
          <w:rFonts w:hint="default"/>
          <w:lang w:val="en-US" w:eastAsia="zh-CN"/>
        </w:rPr>
        <w:t>”</w:t>
      </w:r>
      <w:r>
        <w:rPr>
          <w:rFonts w:hint="eastAsia"/>
          <w:lang w:val="en-US" w:eastAsia="zh-CN"/>
        </w:rPr>
        <w:t xml:space="preserve"> and Rx beam sweeping factor </w:t>
      </w:r>
      <w:r>
        <w:rPr>
          <w:rFonts w:hint="default"/>
          <w:lang w:val="en-US" w:eastAsia="zh-CN"/>
        </w:rPr>
        <w:t>“</w:t>
      </w:r>
      <w:r>
        <w:rPr>
          <w:rFonts w:hint="eastAsia"/>
          <w:lang w:val="en-US" w:eastAsia="zh-CN"/>
        </w:rPr>
        <w:t>N</w:t>
      </w:r>
      <w:r>
        <w:rPr>
          <w:rFonts w:hint="default"/>
          <w:lang w:val="en-US" w:eastAsia="zh-CN"/>
        </w:rPr>
        <w:t>”</w:t>
      </w:r>
      <w:r>
        <w:rPr>
          <w:rFonts w:hint="eastAsia"/>
          <w:lang w:val="en-US" w:eastAsia="zh-CN"/>
        </w:rPr>
        <w:t xml:space="preserve"> in FR2. This measurement is about SetB measurement which is legacy L1-RSRP measurement, we propose to reuse the legacy measurement period.</w:t>
      </w:r>
    </w:p>
    <w:p>
      <w:pPr>
        <w:numPr>
          <w:ilvl w:val="-1"/>
          <w:numId w:val="0"/>
        </w:numPr>
        <w:spacing w:before="161" w:beforeLines="50" w:after="161" w:afterLines="50"/>
        <w:ind w:left="0" w:firstLine="0"/>
        <w:jc w:val="both"/>
        <w:rPr>
          <w:rFonts w:hint="default"/>
          <w:lang w:val="en-US" w:eastAsia="zh-CN"/>
        </w:rPr>
      </w:pPr>
      <w:r>
        <w:rPr>
          <w:rFonts w:hint="eastAsia"/>
          <w:lang w:val="en-US" w:eastAsia="zh-CN"/>
        </w:rPr>
        <w:t>For</w:t>
      </w:r>
      <w:r>
        <w:rPr>
          <w:rFonts w:hint="eastAsia"/>
          <w:highlight w:val="none"/>
          <w:lang w:val="en-US" w:eastAsia="zh-CN"/>
        </w:rPr>
        <w:t xml:space="preserve"> reporting delay </w:t>
      </w:r>
      <w:r>
        <w:rPr>
          <w:rFonts w:hint="eastAsia"/>
          <w:lang w:val="en-US" w:eastAsia="zh-CN"/>
        </w:rPr>
        <w:t>(including inference latency), RAN4 shall wait for other WGs</w:t>
      </w:r>
      <w:r>
        <w:rPr>
          <w:rFonts w:hint="default"/>
          <w:lang w:val="en-US" w:eastAsia="zh-CN"/>
        </w:rPr>
        <w:t>’</w:t>
      </w:r>
      <w:r>
        <w:rPr>
          <w:rFonts w:hint="eastAsia"/>
          <w:lang w:val="en-US" w:eastAsia="zh-CN"/>
        </w:rPr>
        <w:t xml:space="preserve"> discussion on the concrete reporting mechanism. We would like to emphasis that the inference delay maybe different due to model complexity, such as the number of hidden layers, hardware architecture (CPU/GPU) or other parameters of AI/ML models. Thus, the reporting delay including inference delay vary from UE to UE. Consequently, it is hard for RAN4 to set a fixed value on reporting delay.  </w:t>
      </w:r>
    </w:p>
    <w:p>
      <w:pPr>
        <w:numPr>
          <w:ilvl w:val="-1"/>
          <w:numId w:val="0"/>
        </w:numPr>
        <w:spacing w:before="161" w:beforeLines="50" w:after="161" w:afterLines="50"/>
        <w:ind w:left="0" w:firstLine="0"/>
        <w:jc w:val="both"/>
        <w:rPr>
          <w:rFonts w:hint="eastAsia"/>
          <w:b/>
          <w:bCs/>
          <w:lang w:val="en-US" w:eastAsia="zh-CN"/>
        </w:rPr>
      </w:pPr>
      <w:r>
        <w:rPr>
          <w:rFonts w:hint="eastAsia"/>
          <w:b/>
          <w:bCs/>
          <w:lang w:val="en-US" w:eastAsia="zh-CN"/>
        </w:rPr>
        <w:t>Proposal 12: For measurement delay, the legacy L1-RSRP measurement period shall be reused.</w:t>
      </w:r>
    </w:p>
    <w:p>
      <w:pPr>
        <w:numPr>
          <w:ilvl w:val="-1"/>
          <w:numId w:val="0"/>
        </w:numPr>
        <w:spacing w:before="161" w:beforeLines="50" w:after="161" w:afterLines="50"/>
        <w:ind w:left="0" w:firstLine="0"/>
        <w:jc w:val="both"/>
        <w:rPr>
          <w:rFonts w:hint="default"/>
          <w:b/>
          <w:bCs/>
          <w:lang w:val="en-US" w:eastAsia="zh-CN"/>
        </w:rPr>
      </w:pPr>
      <w:r>
        <w:rPr>
          <w:rFonts w:hint="eastAsia"/>
          <w:b/>
          <w:bCs/>
          <w:lang w:val="en-US" w:eastAsia="zh-CN"/>
        </w:rPr>
        <w:t>Observation 14: The inference delay maybe different due to model complexity, such as the number of hidden layers, hardware architecture (CPU/GPU) or other parameters of AI/ML models. Thus, the reporting delay including inference delay vary from UE to UE.</w:t>
      </w:r>
    </w:p>
    <w:p>
      <w:pPr>
        <w:numPr>
          <w:ilvl w:val="-1"/>
          <w:numId w:val="0"/>
        </w:numPr>
        <w:spacing w:before="161" w:beforeLines="50" w:after="161" w:afterLines="50"/>
        <w:ind w:left="0" w:firstLine="0"/>
        <w:jc w:val="both"/>
        <w:rPr>
          <w:rFonts w:hint="default"/>
          <w:b/>
          <w:bCs/>
          <w:lang w:val="en-US" w:eastAsia="zh-CN"/>
        </w:rPr>
      </w:pPr>
      <w:r>
        <w:rPr>
          <w:rFonts w:hint="eastAsia"/>
          <w:b/>
          <w:bCs/>
          <w:lang w:val="en-US" w:eastAsia="zh-CN"/>
        </w:rPr>
        <w:t>Proposal 13: For reporting delay, RAN4 shall not define one fixed value and wait for RAN1</w:t>
      </w:r>
      <w:r>
        <w:rPr>
          <w:rFonts w:hint="default"/>
          <w:b/>
          <w:bCs/>
          <w:lang w:val="en-US" w:eastAsia="zh-CN"/>
        </w:rPr>
        <w:t>’</w:t>
      </w:r>
      <w:r>
        <w:rPr>
          <w:rFonts w:hint="eastAsia"/>
          <w:b/>
          <w:bCs/>
          <w:lang w:val="en-US" w:eastAsia="zh-CN"/>
        </w:rPr>
        <w:t>s agreement.</w:t>
      </w:r>
    </w:p>
    <w:p>
      <w:pPr>
        <w:pStyle w:val="3"/>
        <w:rPr>
          <w:rFonts w:hint="default"/>
          <w:sz w:val="24"/>
          <w:szCs w:val="24"/>
          <w:highlight w:val="none"/>
          <w:lang w:val="en-US" w:eastAsia="zh-CN"/>
        </w:rPr>
      </w:pPr>
      <w:r>
        <w:rPr>
          <w:rFonts w:hint="eastAsia"/>
          <w:sz w:val="24"/>
          <w:szCs w:val="24"/>
          <w:highlight w:val="none"/>
          <w:lang w:val="en-US" w:eastAsia="zh-CN"/>
        </w:rPr>
        <w:t>2.3 Test Procedure</w:t>
      </w:r>
    </w:p>
    <w:p>
      <w:pPr>
        <w:spacing w:after="120"/>
        <w:jc w:val="both"/>
        <w:rPr>
          <w:rFonts w:hint="eastAsia" w:eastAsia="宋体"/>
          <w:b w:val="0"/>
          <w:bCs w:val="0"/>
          <w:szCs w:val="20"/>
          <w:lang w:val="en-US" w:eastAsia="zh-CN"/>
        </w:rPr>
      </w:pPr>
      <w:r>
        <w:rPr>
          <w:rFonts w:hint="eastAsia" w:eastAsia="宋体"/>
          <w:b w:val="0"/>
          <w:bCs w:val="0"/>
          <w:szCs w:val="20"/>
          <w:lang w:val="en-US" w:eastAsia="zh-CN"/>
        </w:rPr>
        <w:t>When we study the testability issues, the test procedure shall be clarified and unified firstly. In this section, we would like to state the test procedure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57"/>
        <w:gridCol w:w="47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4757" w:type="dxa"/>
            <w:vMerge w:val="restart"/>
          </w:tcPr>
          <w:p>
            <w:pPr>
              <w:spacing w:after="120"/>
              <w:jc w:val="both"/>
              <w:rPr>
                <w:rFonts w:hint="default" w:eastAsia="宋体"/>
                <w:b w:val="0"/>
                <w:bCs w:val="0"/>
                <w:szCs w:val="20"/>
                <w:vertAlign w:val="baseline"/>
                <w:lang w:val="en-US" w:eastAsia="zh-CN"/>
              </w:rPr>
            </w:pPr>
            <w:r>
              <w:rPr>
                <w:rFonts w:hint="eastAsia" w:eastAsia="宋体"/>
                <w:b w:val="0"/>
                <w:bCs w:val="0"/>
                <w:szCs w:val="20"/>
                <w:vertAlign w:val="baseline"/>
                <w:lang w:val="en-US" w:eastAsia="zh-CN"/>
              </w:rPr>
              <w:t>Training phase</w:t>
            </w:r>
          </w:p>
        </w:tc>
        <w:tc>
          <w:tcPr>
            <w:tcW w:w="4757" w:type="dxa"/>
          </w:tcPr>
          <w:p>
            <w:pPr>
              <w:spacing w:after="120"/>
              <w:jc w:val="both"/>
              <w:rPr>
                <w:rFonts w:hint="eastAsia" w:eastAsia="宋体"/>
                <w:b w:val="0"/>
                <w:bCs w:val="0"/>
                <w:szCs w:val="20"/>
                <w:vertAlign w:val="baseline"/>
                <w:lang w:val="en-US" w:eastAsia="zh-CN"/>
              </w:rPr>
            </w:pPr>
            <w:r>
              <w:rPr>
                <w:rFonts w:hint="eastAsia" w:eastAsia="宋体"/>
                <w:b w:val="0"/>
                <w:bCs w:val="0"/>
                <w:szCs w:val="20"/>
                <w:vertAlign w:val="baseline"/>
                <w:lang w:val="en-US" w:eastAsia="zh-CN"/>
              </w:rPr>
              <w:t>1.TE configure resource sets for measurement of Set B and beam report of Set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4757" w:type="dxa"/>
            <w:vMerge w:val="continue"/>
          </w:tcPr>
          <w:p>
            <w:pPr>
              <w:spacing w:after="120"/>
              <w:jc w:val="both"/>
            </w:pPr>
          </w:p>
        </w:tc>
        <w:tc>
          <w:tcPr>
            <w:tcW w:w="4757" w:type="dxa"/>
          </w:tcPr>
          <w:p>
            <w:pPr>
              <w:spacing w:after="120"/>
              <w:jc w:val="both"/>
              <w:rPr>
                <w:rFonts w:hint="eastAsia" w:eastAsia="宋体"/>
                <w:b w:val="0"/>
                <w:bCs w:val="0"/>
                <w:szCs w:val="20"/>
                <w:vertAlign w:val="baseline"/>
                <w:lang w:val="en-US" w:eastAsia="zh-CN"/>
              </w:rPr>
            </w:pPr>
            <w:r>
              <w:rPr>
                <w:rFonts w:hint="eastAsia" w:eastAsia="宋体"/>
                <w:b w:val="0"/>
                <w:bCs w:val="0"/>
                <w:szCs w:val="20"/>
                <w:vertAlign w:val="baseline"/>
                <w:lang w:val="en-US" w:eastAsia="zh-CN"/>
              </w:rPr>
              <w:t>2.UE measures Set B as the model input.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4757" w:type="dxa"/>
            <w:vMerge w:val="restart"/>
          </w:tcPr>
          <w:p>
            <w:pPr>
              <w:spacing w:after="120"/>
              <w:jc w:val="both"/>
              <w:rPr>
                <w:rFonts w:hint="default" w:eastAsia="宋体"/>
                <w:b w:val="0"/>
                <w:bCs w:val="0"/>
                <w:szCs w:val="20"/>
                <w:vertAlign w:val="baseline"/>
                <w:lang w:val="en-US" w:eastAsia="zh-CN"/>
              </w:rPr>
            </w:pPr>
            <w:r>
              <w:rPr>
                <w:rFonts w:hint="eastAsia" w:eastAsia="宋体"/>
                <w:b w:val="0"/>
                <w:bCs w:val="0"/>
                <w:szCs w:val="20"/>
                <w:vertAlign w:val="baseline"/>
                <w:lang w:val="en-US" w:eastAsia="zh-CN"/>
              </w:rPr>
              <w:t>Inference phase</w:t>
            </w:r>
          </w:p>
        </w:tc>
        <w:tc>
          <w:tcPr>
            <w:tcW w:w="4757" w:type="dxa"/>
          </w:tcPr>
          <w:p>
            <w:pPr>
              <w:spacing w:after="120"/>
              <w:jc w:val="both"/>
              <w:rPr>
                <w:rFonts w:hint="eastAsia" w:eastAsia="宋体"/>
                <w:b w:val="0"/>
                <w:bCs w:val="0"/>
                <w:szCs w:val="20"/>
                <w:vertAlign w:val="baseline"/>
                <w:lang w:val="en-US" w:eastAsia="zh-CN"/>
              </w:rPr>
            </w:pPr>
            <w:r>
              <w:rPr>
                <w:rFonts w:hint="eastAsia" w:eastAsia="宋体"/>
                <w:b w:val="0"/>
                <w:bCs w:val="0"/>
                <w:szCs w:val="20"/>
                <w:vertAlign w:val="baseline"/>
                <w:lang w:val="en-US" w:eastAsia="zh-CN"/>
              </w:rPr>
              <w:t>3.Generates the test setup environment for Set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4757" w:type="dxa"/>
            <w:vMerge w:val="continue"/>
          </w:tcPr>
          <w:p>
            <w:pPr>
              <w:spacing w:after="120"/>
              <w:jc w:val="both"/>
            </w:pPr>
          </w:p>
        </w:tc>
        <w:tc>
          <w:tcPr>
            <w:tcW w:w="4757" w:type="dxa"/>
          </w:tcPr>
          <w:p>
            <w:pPr>
              <w:spacing w:after="120"/>
              <w:jc w:val="both"/>
              <w:rPr>
                <w:rFonts w:hint="eastAsia" w:eastAsia="宋体"/>
                <w:b w:val="0"/>
                <w:bCs w:val="0"/>
                <w:szCs w:val="20"/>
                <w:vertAlign w:val="baseline"/>
                <w:lang w:val="en-US" w:eastAsia="zh-CN"/>
              </w:rPr>
            </w:pPr>
            <w:r>
              <w:rPr>
                <w:rFonts w:hint="eastAsia" w:eastAsia="宋体"/>
                <w:b w:val="0"/>
                <w:bCs w:val="0"/>
                <w:szCs w:val="20"/>
                <w:vertAlign w:val="baseline"/>
                <w:lang w:val="en-US" w:eastAsia="zh-CN"/>
              </w:rPr>
              <w:t>4.UE predicts best Tx beam/ L1-RSRP in Set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4757" w:type="dxa"/>
            <w:vMerge w:val="continue"/>
          </w:tcPr>
          <w:p>
            <w:pPr>
              <w:spacing w:after="120"/>
              <w:jc w:val="both"/>
              <w:rPr>
                <w:rFonts w:hint="eastAsia" w:eastAsia="宋体"/>
                <w:b w:val="0"/>
                <w:bCs w:val="0"/>
                <w:szCs w:val="20"/>
                <w:vertAlign w:val="baseline"/>
                <w:lang w:val="en-US" w:eastAsia="zh-CN"/>
              </w:rPr>
            </w:pPr>
          </w:p>
        </w:tc>
        <w:tc>
          <w:tcPr>
            <w:tcW w:w="4757" w:type="dxa"/>
          </w:tcPr>
          <w:p>
            <w:pPr>
              <w:spacing w:after="120"/>
              <w:jc w:val="both"/>
              <w:rPr>
                <w:rFonts w:hint="eastAsia" w:eastAsia="宋体"/>
                <w:b w:val="0"/>
                <w:bCs w:val="0"/>
                <w:szCs w:val="20"/>
                <w:vertAlign w:val="baseline"/>
                <w:lang w:val="en-US" w:eastAsia="zh-CN"/>
              </w:rPr>
            </w:pPr>
            <w:r>
              <w:rPr>
                <w:rFonts w:hint="eastAsia" w:eastAsia="宋体"/>
                <w:b w:val="0"/>
                <w:bCs w:val="0"/>
                <w:szCs w:val="20"/>
                <w:vertAlign w:val="baseline"/>
                <w:lang w:val="en-US" w:eastAsia="zh-CN"/>
              </w:rPr>
              <w:t>5.UE reports predicted best Tx beam/ L1-RSRP to TE in Set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757" w:type="dxa"/>
            <w:vMerge w:val="restart"/>
          </w:tcPr>
          <w:p>
            <w:pPr>
              <w:spacing w:after="120"/>
              <w:jc w:val="both"/>
              <w:rPr>
                <w:rFonts w:hint="eastAsia" w:eastAsia="宋体"/>
                <w:b w:val="0"/>
                <w:bCs w:val="0"/>
                <w:szCs w:val="20"/>
                <w:vertAlign w:val="baseline"/>
                <w:lang w:val="en-US" w:eastAsia="zh-CN"/>
              </w:rPr>
            </w:pPr>
            <w:r>
              <w:rPr>
                <w:rFonts w:hint="eastAsia" w:eastAsia="宋体"/>
                <w:b w:val="0"/>
                <w:bCs w:val="0"/>
                <w:szCs w:val="20"/>
                <w:vertAlign w:val="baseline"/>
                <w:lang w:val="en-US" w:eastAsia="zh-CN"/>
              </w:rPr>
              <w:t>Groundtruth phase (measurement of RSRP with high SNR)</w:t>
            </w:r>
          </w:p>
        </w:tc>
        <w:tc>
          <w:tcPr>
            <w:tcW w:w="4757" w:type="dxa"/>
          </w:tcPr>
          <w:p>
            <w:pPr>
              <w:spacing w:after="120"/>
              <w:jc w:val="both"/>
              <w:rPr>
                <w:rFonts w:hint="eastAsia" w:eastAsia="宋体"/>
                <w:b w:val="0"/>
                <w:bCs w:val="0"/>
                <w:szCs w:val="20"/>
                <w:vertAlign w:val="baseline"/>
                <w:lang w:val="en-US" w:eastAsia="zh-CN"/>
              </w:rPr>
            </w:pPr>
            <w:r>
              <w:rPr>
                <w:rFonts w:hint="eastAsia" w:eastAsia="宋体"/>
                <w:b w:val="0"/>
                <w:bCs w:val="0"/>
                <w:szCs w:val="20"/>
                <w:vertAlign w:val="baseline"/>
                <w:lang w:val="en-US" w:eastAsia="zh-CN"/>
              </w:rPr>
              <w:t>6.TE configures resource sets for measurement of Set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757" w:type="dxa"/>
            <w:vMerge w:val="continue"/>
          </w:tcPr>
          <w:p>
            <w:pPr>
              <w:spacing w:after="120"/>
              <w:jc w:val="both"/>
            </w:pPr>
          </w:p>
        </w:tc>
        <w:tc>
          <w:tcPr>
            <w:tcW w:w="4757" w:type="dxa"/>
          </w:tcPr>
          <w:p>
            <w:pPr>
              <w:spacing w:after="120"/>
              <w:jc w:val="both"/>
              <w:rPr>
                <w:rFonts w:hint="eastAsia" w:eastAsia="宋体"/>
                <w:b w:val="0"/>
                <w:bCs w:val="0"/>
                <w:szCs w:val="20"/>
                <w:vertAlign w:val="baseline"/>
                <w:lang w:val="en-US" w:eastAsia="zh-CN"/>
              </w:rPr>
            </w:pPr>
            <w:r>
              <w:rPr>
                <w:rFonts w:hint="eastAsia" w:eastAsia="宋体"/>
                <w:b w:val="0"/>
                <w:bCs w:val="0"/>
                <w:szCs w:val="20"/>
                <w:vertAlign w:val="baseline"/>
                <w:lang w:val="en-US" w:eastAsia="zh-CN"/>
              </w:rPr>
              <w:t>7.Generates the test setup environment for Set A (including high SNR).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757" w:type="dxa"/>
            <w:vMerge w:val="continue"/>
          </w:tcPr>
          <w:p>
            <w:pPr>
              <w:spacing w:after="120"/>
              <w:jc w:val="both"/>
              <w:rPr>
                <w:rFonts w:hint="eastAsia" w:eastAsia="宋体"/>
                <w:b w:val="0"/>
                <w:bCs w:val="0"/>
                <w:szCs w:val="20"/>
                <w:vertAlign w:val="baseline"/>
                <w:lang w:val="en-US" w:eastAsia="zh-CN"/>
              </w:rPr>
            </w:pPr>
          </w:p>
        </w:tc>
        <w:tc>
          <w:tcPr>
            <w:tcW w:w="4757" w:type="dxa"/>
          </w:tcPr>
          <w:p>
            <w:pPr>
              <w:spacing w:after="120"/>
              <w:jc w:val="both"/>
              <w:rPr>
                <w:rFonts w:hint="eastAsia" w:eastAsia="宋体"/>
                <w:b w:val="0"/>
                <w:bCs w:val="0"/>
                <w:szCs w:val="20"/>
                <w:vertAlign w:val="baseline"/>
                <w:lang w:val="en-US" w:eastAsia="zh-CN"/>
              </w:rPr>
            </w:pPr>
            <w:r>
              <w:rPr>
                <w:rFonts w:hint="eastAsia" w:eastAsia="宋体"/>
                <w:b w:val="0"/>
                <w:bCs w:val="0"/>
                <w:szCs w:val="20"/>
                <w:vertAlign w:val="baseline"/>
                <w:lang w:val="en-US" w:eastAsia="zh-CN"/>
              </w:rPr>
              <w:t>8.UE measures Set A under high SNR condition as ground truth.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757" w:type="dxa"/>
            <w:vMerge w:val="continue"/>
          </w:tcPr>
          <w:p>
            <w:pPr>
              <w:spacing w:after="120"/>
              <w:jc w:val="both"/>
              <w:rPr>
                <w:rFonts w:hint="eastAsia" w:eastAsia="宋体"/>
                <w:b w:val="0"/>
                <w:bCs w:val="0"/>
                <w:szCs w:val="20"/>
                <w:vertAlign w:val="baseline"/>
                <w:lang w:val="en-US" w:eastAsia="zh-CN"/>
              </w:rPr>
            </w:pPr>
          </w:p>
        </w:tc>
        <w:tc>
          <w:tcPr>
            <w:tcW w:w="4757" w:type="dxa"/>
          </w:tcPr>
          <w:p>
            <w:pPr>
              <w:spacing w:after="120"/>
              <w:jc w:val="both"/>
              <w:rPr>
                <w:rFonts w:hint="eastAsia" w:eastAsia="宋体"/>
                <w:b w:val="0"/>
                <w:bCs w:val="0"/>
                <w:szCs w:val="20"/>
                <w:vertAlign w:val="baseline"/>
                <w:lang w:val="en-US" w:eastAsia="zh-CN"/>
              </w:rPr>
            </w:pPr>
            <w:r>
              <w:rPr>
                <w:rFonts w:hint="eastAsia" w:eastAsia="宋体"/>
                <w:b w:val="0"/>
                <w:bCs w:val="0"/>
                <w:szCs w:val="20"/>
                <w:vertAlign w:val="baseline"/>
                <w:lang w:val="en-US" w:eastAsia="zh-CN"/>
              </w:rPr>
              <w:t>9.UE reports groundtruth (measurement on Set A) to 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57" w:type="dxa"/>
          </w:tcPr>
          <w:p>
            <w:pPr>
              <w:spacing w:after="120"/>
              <w:jc w:val="both"/>
              <w:rPr>
                <w:rFonts w:hint="eastAsia" w:eastAsia="宋体"/>
                <w:b w:val="0"/>
                <w:bCs w:val="0"/>
                <w:szCs w:val="20"/>
                <w:vertAlign w:val="baseline"/>
                <w:lang w:val="en-US" w:eastAsia="zh-CN"/>
              </w:rPr>
            </w:pPr>
            <w:r>
              <w:rPr>
                <w:rFonts w:hint="eastAsia" w:eastAsia="宋体"/>
                <w:b w:val="0"/>
                <w:bCs w:val="0"/>
                <w:szCs w:val="20"/>
                <w:vertAlign w:val="baseline"/>
                <w:lang w:val="en-US" w:eastAsia="zh-CN"/>
              </w:rPr>
              <w:t>TE evaluation phase</w:t>
            </w:r>
          </w:p>
        </w:tc>
        <w:tc>
          <w:tcPr>
            <w:tcW w:w="4757" w:type="dxa"/>
          </w:tcPr>
          <w:p>
            <w:pPr>
              <w:spacing w:after="120"/>
              <w:jc w:val="both"/>
              <w:rPr>
                <w:rFonts w:hint="eastAsia" w:eastAsia="宋体"/>
                <w:b w:val="0"/>
                <w:bCs w:val="0"/>
                <w:szCs w:val="20"/>
                <w:vertAlign w:val="baseline"/>
                <w:lang w:val="en-US" w:eastAsia="zh-CN"/>
              </w:rPr>
            </w:pPr>
            <w:r>
              <w:rPr>
                <w:rFonts w:hint="eastAsia" w:eastAsia="宋体"/>
                <w:b w:val="0"/>
                <w:bCs w:val="0"/>
                <w:szCs w:val="20"/>
                <w:vertAlign w:val="baseline"/>
                <w:lang w:val="en-US" w:eastAsia="zh-CN"/>
              </w:rPr>
              <w:t>10.Evaluates the predicted results and groundtruth and judge the performance degradation</w:t>
            </w:r>
          </w:p>
        </w:tc>
      </w:tr>
    </w:tbl>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bCs/>
          <w:szCs w:val="20"/>
          <w:lang w:val="en-US" w:eastAsia="zh-CN"/>
        </w:rPr>
      </w:pPr>
      <w:r>
        <w:rPr>
          <w:rFonts w:hint="eastAsia" w:eastAsia="宋体"/>
          <w:b/>
          <w:bCs/>
          <w:szCs w:val="20"/>
          <w:lang w:val="en-US" w:eastAsia="zh-CN"/>
        </w:rPr>
        <w:t>Proposal 14: The test procedure shall be clarified and unified firstly:</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57"/>
        <w:gridCol w:w="47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4757" w:type="dxa"/>
            <w:vMerge w:val="restart"/>
          </w:tcPr>
          <w:p>
            <w:pPr>
              <w:spacing w:after="120"/>
              <w:jc w:val="both"/>
              <w:rPr>
                <w:rFonts w:hint="default" w:eastAsia="宋体"/>
                <w:b/>
                <w:bCs/>
                <w:szCs w:val="20"/>
                <w:vertAlign w:val="baseline"/>
                <w:lang w:val="en-US" w:eastAsia="zh-CN"/>
              </w:rPr>
            </w:pPr>
            <w:r>
              <w:rPr>
                <w:rFonts w:hint="eastAsia" w:eastAsia="宋体"/>
                <w:b/>
                <w:bCs/>
                <w:szCs w:val="20"/>
                <w:vertAlign w:val="baseline"/>
                <w:lang w:val="en-US" w:eastAsia="zh-CN"/>
              </w:rPr>
              <w:t>Training phase</w:t>
            </w: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1.TE configure resource sets for measurement of Set B and beam report of Set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4757" w:type="dxa"/>
            <w:vMerge w:val="continue"/>
          </w:tcPr>
          <w:p>
            <w:pPr>
              <w:spacing w:after="120"/>
              <w:jc w:val="both"/>
              <w:rPr>
                <w:b/>
                <w:bCs/>
              </w:rPr>
            </w:pP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2.UE measures Set B as the model input.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4757" w:type="dxa"/>
            <w:vMerge w:val="restart"/>
          </w:tcPr>
          <w:p>
            <w:pPr>
              <w:spacing w:after="120"/>
              <w:jc w:val="both"/>
              <w:rPr>
                <w:rFonts w:hint="default" w:eastAsia="宋体"/>
                <w:b/>
                <w:bCs/>
                <w:szCs w:val="20"/>
                <w:vertAlign w:val="baseline"/>
                <w:lang w:val="en-US" w:eastAsia="zh-CN"/>
              </w:rPr>
            </w:pPr>
            <w:r>
              <w:rPr>
                <w:rFonts w:hint="eastAsia" w:eastAsia="宋体"/>
                <w:b/>
                <w:bCs/>
                <w:szCs w:val="20"/>
                <w:vertAlign w:val="baseline"/>
                <w:lang w:val="en-US" w:eastAsia="zh-CN"/>
              </w:rPr>
              <w:t>Inference phase</w:t>
            </w: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3.Generates the test setup environment for Set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4757" w:type="dxa"/>
            <w:vMerge w:val="continue"/>
          </w:tcPr>
          <w:p>
            <w:pPr>
              <w:spacing w:after="120"/>
              <w:jc w:val="both"/>
              <w:rPr>
                <w:b/>
                <w:bCs/>
              </w:rPr>
            </w:pP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4.UE predicts best Tx beam/ L1-RSRP in Set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3" w:hRule="atLeast"/>
        </w:trPr>
        <w:tc>
          <w:tcPr>
            <w:tcW w:w="4757" w:type="dxa"/>
            <w:vMerge w:val="continue"/>
          </w:tcPr>
          <w:p>
            <w:pPr>
              <w:spacing w:after="120"/>
              <w:jc w:val="both"/>
              <w:rPr>
                <w:rFonts w:hint="eastAsia" w:eastAsia="宋体"/>
                <w:b/>
                <w:bCs/>
                <w:szCs w:val="20"/>
                <w:vertAlign w:val="baseline"/>
                <w:lang w:val="en-US" w:eastAsia="zh-CN"/>
              </w:rPr>
            </w:pP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5.UE reports predicted best Tx beam/ L1-RSRP to TE in Set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757" w:type="dxa"/>
            <w:vMerge w:val="restart"/>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Groundtruth phase (measurement of RSRP with high SNR)</w:t>
            </w: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6.TE configures resource sets for measurement of Set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757" w:type="dxa"/>
            <w:vMerge w:val="continue"/>
          </w:tcPr>
          <w:p>
            <w:pPr>
              <w:spacing w:after="120"/>
              <w:jc w:val="both"/>
              <w:rPr>
                <w:b/>
                <w:bCs/>
              </w:rPr>
            </w:pP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7.Generates the test setup environment for Set A (including high SNR).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757" w:type="dxa"/>
            <w:vMerge w:val="continue"/>
          </w:tcPr>
          <w:p>
            <w:pPr>
              <w:spacing w:after="120"/>
              <w:jc w:val="both"/>
              <w:rPr>
                <w:rFonts w:hint="eastAsia" w:eastAsia="宋体"/>
                <w:b/>
                <w:bCs/>
                <w:szCs w:val="20"/>
                <w:vertAlign w:val="baseline"/>
                <w:lang w:val="en-US" w:eastAsia="zh-CN"/>
              </w:rPr>
            </w:pP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8.UE measures Set A under high SNR condition as ground truth.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757" w:type="dxa"/>
            <w:vMerge w:val="continue"/>
          </w:tcPr>
          <w:p>
            <w:pPr>
              <w:spacing w:after="120"/>
              <w:jc w:val="both"/>
              <w:rPr>
                <w:rFonts w:hint="eastAsia" w:eastAsia="宋体"/>
                <w:b/>
                <w:bCs/>
                <w:szCs w:val="20"/>
                <w:vertAlign w:val="baseline"/>
                <w:lang w:val="en-US" w:eastAsia="zh-CN"/>
              </w:rPr>
            </w:pP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9.UE reports groundtruth (measurement on Set A) to 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TE evaluation phase</w:t>
            </w: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10.Evaluates the predicted results and groundtruth and judge the performance degradation</w:t>
            </w:r>
          </w:p>
        </w:tc>
      </w:tr>
    </w:tbl>
    <w:p>
      <w:pPr>
        <w:pStyle w:val="3"/>
        <w:rPr>
          <w:rFonts w:hint="default"/>
          <w:sz w:val="24"/>
          <w:szCs w:val="24"/>
          <w:highlight w:val="none"/>
          <w:lang w:val="en-US" w:eastAsia="zh-CN"/>
        </w:rPr>
      </w:pPr>
      <w:r>
        <w:rPr>
          <w:rFonts w:hint="eastAsia"/>
          <w:sz w:val="24"/>
          <w:szCs w:val="24"/>
          <w:highlight w:val="none"/>
          <w:lang w:val="en-US" w:eastAsia="zh-CN"/>
        </w:rPr>
        <w:t>2.4 Measurement Error</w:t>
      </w:r>
    </w:p>
    <w:p>
      <w:pPr>
        <w:numPr>
          <w:ilvl w:val="-1"/>
          <w:numId w:val="0"/>
        </w:numPr>
        <w:spacing w:before="161" w:beforeLines="50" w:after="161" w:afterLines="50"/>
        <w:ind w:left="0" w:firstLine="0"/>
        <w:jc w:val="both"/>
        <w:rPr>
          <w:rFonts w:hint="eastAsia"/>
          <w:b w:val="0"/>
          <w:bCs w:val="0"/>
          <w:lang w:val="en-US" w:eastAsia="zh-CN"/>
        </w:rPr>
      </w:pPr>
      <w:r>
        <w:rPr>
          <w:rFonts w:hint="eastAsia"/>
          <w:b w:val="0"/>
          <w:bCs w:val="0"/>
          <w:lang w:val="en-US" w:eastAsia="zh-CN"/>
        </w:rPr>
        <w:t>In the last meeting, RAN4 has agreed the simulation assumption for studying the impact of measurement error on beam prediction accuracy. There are two steps for beam simulation:</w:t>
      </w:r>
    </w:p>
    <w:p>
      <w:pPr>
        <w:numPr>
          <w:ilvl w:val="0"/>
          <w:numId w:val="20"/>
        </w:numPr>
        <w:spacing w:before="161" w:beforeLines="50" w:after="161" w:afterLines="50"/>
        <w:ind w:left="420" w:leftChars="0" w:hanging="420" w:firstLineChars="0"/>
        <w:jc w:val="both"/>
        <w:rPr>
          <w:rFonts w:hint="eastAsia"/>
          <w:b w:val="0"/>
          <w:bCs w:val="0"/>
          <w:lang w:val="en-US" w:eastAsia="zh-CN"/>
        </w:rPr>
      </w:pPr>
      <w:r>
        <w:rPr>
          <w:rFonts w:hint="eastAsia"/>
          <w:b w:val="0"/>
          <w:bCs w:val="0"/>
          <w:lang w:val="en-US" w:eastAsia="zh-CN"/>
        </w:rPr>
        <w:t>Measurement error for different SNR</w:t>
      </w:r>
    </w:p>
    <w:p>
      <w:pPr>
        <w:numPr>
          <w:ilvl w:val="0"/>
          <w:numId w:val="20"/>
        </w:numPr>
        <w:spacing w:before="161" w:beforeLines="50" w:after="161" w:afterLines="50"/>
        <w:ind w:left="420" w:leftChars="0" w:hanging="420" w:firstLineChars="0"/>
        <w:jc w:val="both"/>
        <w:rPr>
          <w:rFonts w:hint="eastAsia"/>
          <w:b w:val="0"/>
          <w:bCs w:val="0"/>
          <w:lang w:val="en-US" w:eastAsia="zh-CN"/>
        </w:rPr>
      </w:pPr>
      <w:r>
        <w:rPr>
          <w:rFonts w:hint="eastAsia"/>
          <w:b w:val="0"/>
          <w:bCs w:val="0"/>
          <w:lang w:val="en-US" w:eastAsia="zh-CN"/>
        </w:rPr>
        <w:t>Prediction accuracy without measurement error and without measurement error</w:t>
      </w:r>
    </w:p>
    <w:p>
      <w:pPr>
        <w:numPr>
          <w:ilvl w:val="-1"/>
          <w:numId w:val="0"/>
        </w:numPr>
        <w:spacing w:before="161" w:beforeLines="50" w:after="161" w:afterLines="50"/>
        <w:ind w:left="0" w:firstLine="0"/>
        <w:jc w:val="both"/>
        <w:rPr>
          <w:rFonts w:hint="eastAsia"/>
          <w:b w:val="0"/>
          <w:bCs w:val="0"/>
          <w:lang w:val="en-US" w:eastAsia="zh-CN"/>
        </w:rPr>
      </w:pPr>
      <w:r>
        <w:rPr>
          <w:rFonts w:hint="eastAsia"/>
          <w:b w:val="0"/>
          <w:bCs w:val="0"/>
          <w:lang w:val="en-US" w:eastAsia="zh-CN"/>
        </w:rPr>
        <w:t>For the first part, the measurement error for different SNR is simulated as below. Here, we only simulate for AWGN channel. For fading channel, the measurement error may be larger. Besides, measurement error is dependent on baseband algorithm.</w:t>
      </w:r>
    </w:p>
    <w:p>
      <w:pPr>
        <w:spacing w:after="120" w:afterLines="50"/>
        <w:jc w:val="center"/>
        <w:rPr>
          <w:rFonts w:hint="default" w:ascii="Times New Roman" w:hAnsi="Times New Roman" w:cs="Times New Roman"/>
          <w:sz w:val="20"/>
          <w:szCs w:val="20"/>
        </w:rPr>
      </w:pPr>
      <w:r>
        <w:rPr>
          <w:rFonts w:hint="default" w:ascii="Times New Roman" w:hAnsi="Times New Roman" w:cs="Times New Roman"/>
          <w:sz w:val="20"/>
          <w:szCs w:val="20"/>
        </w:rPr>
        <w:t>Measurement error for AWGN channel</w:t>
      </w:r>
    </w:p>
    <w:tbl>
      <w:tblPr>
        <w:tblStyle w:val="19"/>
        <w:tblW w:w="81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37"/>
        <w:gridCol w:w="1271"/>
        <w:gridCol w:w="1278"/>
        <w:gridCol w:w="1315"/>
        <w:gridCol w:w="13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2937" w:type="dxa"/>
          </w:tcPr>
          <w:p>
            <w:pPr>
              <w:jc w:val="center"/>
              <w:rPr>
                <w:rFonts w:hint="default" w:ascii="Times New Roman" w:hAnsi="Times New Roman" w:cs="Times New Roman" w:eastAsiaTheme="minorEastAsia"/>
                <w:sz w:val="20"/>
                <w:szCs w:val="20"/>
              </w:rPr>
            </w:pPr>
            <w:r>
              <w:rPr>
                <w:rFonts w:hint="default" w:ascii="Times New Roman" w:hAnsi="Times New Roman" w:cs="Times New Roman" w:eastAsiaTheme="minorEastAsia"/>
                <w:sz w:val="20"/>
                <w:szCs w:val="20"/>
              </w:rPr>
              <w:t>SNR</w:t>
            </w:r>
          </w:p>
        </w:tc>
        <w:tc>
          <w:tcPr>
            <w:tcW w:w="1271" w:type="dxa"/>
          </w:tcPr>
          <w:p>
            <w:pPr>
              <w:jc w:val="center"/>
              <w:rPr>
                <w:rFonts w:hint="default" w:ascii="Times New Roman" w:hAnsi="Times New Roman" w:cs="Times New Roman" w:eastAsiaTheme="minorEastAsia"/>
                <w:sz w:val="20"/>
                <w:szCs w:val="20"/>
              </w:rPr>
            </w:pPr>
            <w:r>
              <w:rPr>
                <w:rFonts w:hint="default" w:ascii="Times New Roman" w:hAnsi="Times New Roman" w:cs="Times New Roman" w:eastAsiaTheme="minorEastAsia"/>
                <w:sz w:val="20"/>
                <w:szCs w:val="20"/>
              </w:rPr>
              <w:t>-5dB</w:t>
            </w:r>
          </w:p>
        </w:tc>
        <w:tc>
          <w:tcPr>
            <w:tcW w:w="1278" w:type="dxa"/>
          </w:tcPr>
          <w:p>
            <w:pPr>
              <w:jc w:val="center"/>
              <w:rPr>
                <w:rFonts w:hint="default" w:ascii="Times New Roman" w:hAnsi="Times New Roman" w:cs="Times New Roman" w:eastAsiaTheme="minorEastAsia"/>
                <w:sz w:val="20"/>
                <w:szCs w:val="20"/>
              </w:rPr>
            </w:pPr>
            <w:r>
              <w:rPr>
                <w:rFonts w:hint="default" w:ascii="Times New Roman" w:hAnsi="Times New Roman" w:cs="Times New Roman" w:eastAsiaTheme="minorEastAsia"/>
                <w:sz w:val="20"/>
                <w:szCs w:val="20"/>
              </w:rPr>
              <w:t>-3dB</w:t>
            </w:r>
          </w:p>
        </w:tc>
        <w:tc>
          <w:tcPr>
            <w:tcW w:w="1315" w:type="dxa"/>
          </w:tcPr>
          <w:p>
            <w:pPr>
              <w:jc w:val="center"/>
              <w:rPr>
                <w:rFonts w:hint="default" w:ascii="Times New Roman" w:hAnsi="Times New Roman" w:cs="Times New Roman" w:eastAsiaTheme="minorEastAsia"/>
                <w:sz w:val="20"/>
                <w:szCs w:val="20"/>
              </w:rPr>
            </w:pPr>
            <w:r>
              <w:rPr>
                <w:rFonts w:hint="default" w:ascii="Times New Roman" w:hAnsi="Times New Roman" w:cs="Times New Roman" w:eastAsiaTheme="minorEastAsia"/>
                <w:sz w:val="20"/>
                <w:szCs w:val="20"/>
              </w:rPr>
              <w:t>0dB</w:t>
            </w:r>
          </w:p>
        </w:tc>
        <w:tc>
          <w:tcPr>
            <w:tcW w:w="1357" w:type="dxa"/>
          </w:tcPr>
          <w:p>
            <w:pPr>
              <w:jc w:val="center"/>
              <w:rPr>
                <w:rFonts w:hint="default" w:ascii="Times New Roman" w:hAnsi="Times New Roman" w:cs="Times New Roman" w:eastAsiaTheme="minorEastAsia"/>
                <w:sz w:val="20"/>
                <w:szCs w:val="20"/>
              </w:rPr>
            </w:pPr>
            <w:r>
              <w:rPr>
                <w:rFonts w:hint="default" w:ascii="Times New Roman" w:hAnsi="Times New Roman" w:cs="Times New Roman" w:eastAsiaTheme="minorEastAsia"/>
                <w:sz w:val="20"/>
                <w:szCs w:val="20"/>
              </w:rPr>
              <w:t>5dB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2937" w:type="dxa"/>
          </w:tcPr>
          <w:p>
            <w:pPr>
              <w:jc w:val="center"/>
              <w:rPr>
                <w:rFonts w:hint="default" w:ascii="Times New Roman" w:hAnsi="Times New Roman" w:cs="Times New Roman" w:eastAsiaTheme="minorEastAsia"/>
                <w:sz w:val="20"/>
                <w:szCs w:val="20"/>
                <w:lang w:val="en-US" w:eastAsia="zh-CN"/>
              </w:rPr>
            </w:pPr>
            <w:r>
              <w:rPr>
                <w:rFonts w:hint="eastAsia" w:eastAsia="宋体" w:cs="Times New Roman"/>
                <w:lang w:val="en-US" w:eastAsia="zh-CN"/>
              </w:rPr>
              <w:t>L1-RSRP measurement error (dB)</w:t>
            </w:r>
          </w:p>
        </w:tc>
        <w:tc>
          <w:tcPr>
            <w:tcW w:w="1271" w:type="dxa"/>
          </w:tcPr>
          <w:p>
            <w:pPr>
              <w:jc w:val="center"/>
              <w:rPr>
                <w:rFonts w:hint="default" w:ascii="Times New Roman" w:hAnsi="Times New Roman" w:cs="Times New Roman" w:eastAsiaTheme="minorEastAsia"/>
                <w:sz w:val="20"/>
                <w:szCs w:val="20"/>
                <w:highlight w:val="none"/>
                <w:lang w:val="en-US" w:eastAsia="zh-CN"/>
              </w:rPr>
            </w:pPr>
            <w:r>
              <w:rPr>
                <w:rFonts w:hint="default" w:ascii="Times New Roman" w:hAnsi="Times New Roman" w:cs="Times New Roman" w:eastAsiaTheme="minorEastAsia"/>
                <w:sz w:val="20"/>
                <w:szCs w:val="20"/>
                <w:highlight w:val="none"/>
                <w:lang w:val="en-US" w:eastAsia="zh-CN"/>
              </w:rPr>
              <w:t>1.3</w:t>
            </w:r>
          </w:p>
        </w:tc>
        <w:tc>
          <w:tcPr>
            <w:tcW w:w="1278" w:type="dxa"/>
          </w:tcPr>
          <w:p>
            <w:pPr>
              <w:jc w:val="center"/>
              <w:rPr>
                <w:rFonts w:hint="default" w:ascii="Times New Roman" w:hAnsi="Times New Roman" w:cs="Times New Roman" w:eastAsiaTheme="minorEastAsia"/>
                <w:sz w:val="20"/>
                <w:szCs w:val="20"/>
                <w:highlight w:val="none"/>
                <w:lang w:val="en-US" w:eastAsia="zh-CN"/>
              </w:rPr>
            </w:pPr>
            <w:r>
              <w:rPr>
                <w:rFonts w:hint="default" w:ascii="Times New Roman" w:hAnsi="Times New Roman" w:cs="Times New Roman" w:eastAsiaTheme="minorEastAsia"/>
                <w:sz w:val="20"/>
                <w:szCs w:val="20"/>
                <w:highlight w:val="none"/>
                <w:lang w:val="en-US" w:eastAsia="zh-CN"/>
              </w:rPr>
              <w:t>1</w:t>
            </w:r>
          </w:p>
        </w:tc>
        <w:tc>
          <w:tcPr>
            <w:tcW w:w="1315" w:type="dxa"/>
          </w:tcPr>
          <w:p>
            <w:pPr>
              <w:jc w:val="center"/>
              <w:rPr>
                <w:rFonts w:hint="default" w:ascii="Times New Roman" w:hAnsi="Times New Roman" w:cs="Times New Roman" w:eastAsiaTheme="minorEastAsia"/>
                <w:sz w:val="20"/>
                <w:szCs w:val="20"/>
                <w:highlight w:val="none"/>
                <w:lang w:val="en-US" w:eastAsia="zh-CN"/>
              </w:rPr>
            </w:pPr>
            <w:r>
              <w:rPr>
                <w:rFonts w:hint="default" w:ascii="Times New Roman" w:hAnsi="Times New Roman" w:cs="Times New Roman" w:eastAsiaTheme="minorEastAsia"/>
                <w:sz w:val="20"/>
                <w:szCs w:val="20"/>
                <w:highlight w:val="none"/>
                <w:lang w:val="en-US" w:eastAsia="zh-CN"/>
              </w:rPr>
              <w:t>0.6</w:t>
            </w:r>
          </w:p>
        </w:tc>
        <w:tc>
          <w:tcPr>
            <w:tcW w:w="1357" w:type="dxa"/>
          </w:tcPr>
          <w:p>
            <w:pPr>
              <w:jc w:val="center"/>
              <w:rPr>
                <w:rFonts w:hint="default" w:ascii="Times New Roman" w:hAnsi="Times New Roman" w:cs="Times New Roman" w:eastAsiaTheme="minorEastAsia"/>
                <w:sz w:val="20"/>
                <w:szCs w:val="20"/>
                <w:highlight w:val="none"/>
                <w:lang w:val="en-US" w:eastAsia="zh-CN"/>
              </w:rPr>
            </w:pPr>
            <w:r>
              <w:rPr>
                <w:rFonts w:hint="default" w:ascii="Times New Roman" w:hAnsi="Times New Roman" w:cs="Times New Roman" w:eastAsiaTheme="minorEastAsia"/>
                <w:sz w:val="20"/>
                <w:szCs w:val="20"/>
                <w:highlight w:val="none"/>
                <w:lang w:val="en-US" w:eastAsia="zh-CN"/>
              </w:rPr>
              <w:t>0.3</w:t>
            </w:r>
          </w:p>
        </w:tc>
      </w:tr>
    </w:tbl>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bCs/>
          <w:szCs w:val="20"/>
          <w:lang w:val="en-US" w:eastAsia="zh-CN"/>
        </w:rPr>
      </w:pPr>
      <w:r>
        <w:rPr>
          <w:rFonts w:hint="eastAsia" w:eastAsia="宋体"/>
          <w:b/>
          <w:bCs/>
          <w:szCs w:val="20"/>
          <w:lang w:val="en-US" w:eastAsia="zh-CN"/>
        </w:rPr>
        <w:t>Observation 15: The smaller SNR conditions, the larger measurement error.</w:t>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val="0"/>
          <w:bCs w:val="0"/>
          <w:szCs w:val="20"/>
          <w:lang w:val="en-US" w:eastAsia="zh-CN"/>
        </w:rPr>
      </w:pPr>
      <w:r>
        <w:rPr>
          <w:rFonts w:hint="eastAsia" w:eastAsia="宋体"/>
          <w:b w:val="0"/>
          <w:bCs w:val="0"/>
          <w:szCs w:val="20"/>
          <w:lang w:val="en-US" w:eastAsia="zh-CN"/>
        </w:rPr>
        <w:t>Secondly, we would apply the above measurement error to all Tx beams, where measurement error is modeled as Gaussian distribution. The following figure[3] provides us the concrete method to add the measurement error:</w:t>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center"/>
        <w:textAlignment w:val="auto"/>
        <w:rPr>
          <w:rFonts w:hint="default" w:ascii="Times New Roman" w:hAnsi="Times New Roman" w:eastAsia="宋体" w:cs="Times New Roman"/>
          <w:kern w:val="0"/>
          <w:sz w:val="24"/>
          <w:szCs w:val="24"/>
          <w:lang w:val="en-US" w:eastAsia="zh-CN" w:bidi="ar"/>
        </w:rPr>
      </w:pPr>
      <w:r>
        <w:rPr>
          <w:rFonts w:hint="default" w:ascii="Times New Roman" w:hAnsi="Times New Roman" w:eastAsia="宋体" w:cs="Times New Roman"/>
          <w:kern w:val="0"/>
          <w:sz w:val="24"/>
          <w:szCs w:val="24"/>
          <w:lang w:val="en-US" w:eastAsia="zh-CN" w:bidi="ar"/>
        </w:rPr>
        <w:drawing>
          <wp:inline distT="0" distB="0" distL="114300" distR="114300">
            <wp:extent cx="5213350" cy="2381885"/>
            <wp:effectExtent l="0" t="0" r="0" b="10795"/>
            <wp:docPr id="18"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 descr="IMG_256"/>
                    <pic:cNvPicPr>
                      <a:picLocks noChangeAspect="1"/>
                    </pic:cNvPicPr>
                  </pic:nvPicPr>
                  <pic:blipFill>
                    <a:blip r:embed="rId9"/>
                    <a:stretch>
                      <a:fillRect/>
                    </a:stretch>
                  </pic:blipFill>
                  <pic:spPr>
                    <a:xfrm>
                      <a:off x="0" y="0"/>
                      <a:ext cx="5213350" cy="2381885"/>
                    </a:xfrm>
                    <a:prstGeom prst="rect">
                      <a:avLst/>
                    </a:prstGeom>
                    <a:noFill/>
                    <a:ln w="9525">
                      <a:noFill/>
                    </a:ln>
                  </pic:spPr>
                </pic:pic>
              </a:graphicData>
            </a:graphic>
          </wp:inline>
        </w:drawing>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center"/>
        <w:textAlignment w:val="auto"/>
        <w:rPr>
          <w:rFonts w:hint="default" w:ascii="Times New Roman" w:hAnsi="Times New Roman" w:eastAsia="宋体" w:cs="Times New Roman"/>
          <w:kern w:val="0"/>
          <w:sz w:val="22"/>
          <w:szCs w:val="22"/>
          <w:lang w:val="en-US" w:eastAsia="zh-CN" w:bidi="ar"/>
        </w:rPr>
      </w:pPr>
      <w:r>
        <w:rPr>
          <w:rFonts w:hint="eastAsia" w:eastAsia="宋体" w:cs="Times New Roman"/>
          <w:kern w:val="0"/>
          <w:sz w:val="22"/>
          <w:szCs w:val="22"/>
          <w:lang w:val="en-US" w:eastAsia="zh-CN" w:bidi="ar"/>
        </w:rPr>
        <w:t xml:space="preserve">Figure 6 Add measurement error </w:t>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val="0"/>
          <w:bCs w:val="0"/>
          <w:szCs w:val="20"/>
          <w:lang w:val="en-US" w:eastAsia="zh-CN"/>
        </w:rPr>
      </w:pPr>
      <w:r>
        <w:rPr>
          <w:rFonts w:hint="eastAsia" w:eastAsia="宋体"/>
          <w:b w:val="0"/>
          <w:bCs w:val="0"/>
          <w:szCs w:val="20"/>
          <w:lang w:val="en-US" w:eastAsia="zh-CN"/>
        </w:rPr>
        <w:t>We main provide the performance metrics Top-K/1 with ME and without ME as below:</w:t>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bCs/>
          <w:i/>
          <w:iCs/>
          <w:szCs w:val="20"/>
          <w:u w:val="single"/>
          <w:lang w:val="en-US" w:eastAsia="zh-CN"/>
        </w:rPr>
      </w:pPr>
      <w:r>
        <w:rPr>
          <w:rFonts w:hint="eastAsia" w:eastAsia="宋体"/>
          <w:b/>
          <w:bCs/>
          <w:i/>
          <w:iCs/>
          <w:szCs w:val="20"/>
          <w:u w:val="single"/>
          <w:lang w:val="en-US" w:eastAsia="zh-CN"/>
        </w:rPr>
        <w:t>Top-K/1:</w:t>
      </w:r>
    </w:p>
    <w:tbl>
      <w:tblPr>
        <w:tblStyle w:val="19"/>
        <w:tblW w:w="95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1"/>
        <w:gridCol w:w="2727"/>
        <w:gridCol w:w="1657"/>
        <w:gridCol w:w="1574"/>
        <w:gridCol w:w="1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1861" w:type="dxa"/>
          </w:tcPr>
          <w:p>
            <w:pPr>
              <w:rPr>
                <w:rFonts w:hint="default" w:ascii="Times New Roman" w:hAnsi="Times New Roman" w:cs="Times New Roman"/>
                <w:sz w:val="21"/>
                <w:szCs w:val="21"/>
              </w:rPr>
            </w:pPr>
            <w:r>
              <w:rPr>
                <w:rFonts w:hint="default" w:ascii="Times New Roman" w:hAnsi="Times New Roman" w:cs="Times New Roman"/>
                <w:sz w:val="21"/>
                <w:szCs w:val="21"/>
              </w:rPr>
              <w:t>Measurement error (dB)</w:t>
            </w:r>
          </w:p>
        </w:tc>
        <w:tc>
          <w:tcPr>
            <w:tcW w:w="7658" w:type="dxa"/>
            <w:gridSpan w:val="4"/>
          </w:tcPr>
          <w:p>
            <w:pPr>
              <w:jc w:val="center"/>
              <w:rPr>
                <w:rFonts w:hint="default" w:ascii="Times New Roman" w:hAnsi="Times New Roman" w:cs="Times New Roman"/>
                <w:sz w:val="21"/>
                <w:szCs w:val="21"/>
              </w:rPr>
            </w:pPr>
            <w:r>
              <w:rPr>
                <w:rFonts w:hint="default" w:ascii="Times New Roman" w:hAnsi="Times New Roman" w:cs="Times New Roman"/>
                <w:sz w:val="21"/>
                <w:szCs w:val="21"/>
              </w:rPr>
              <w:t>Prediction accuracy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861" w:type="dxa"/>
          </w:tcPr>
          <w:p>
            <w:pPr>
              <w:rPr>
                <w:rFonts w:hint="default" w:ascii="Times New Roman" w:hAnsi="Times New Roman" w:cs="Times New Roman"/>
                <w:sz w:val="21"/>
                <w:szCs w:val="21"/>
              </w:rPr>
            </w:pPr>
          </w:p>
        </w:tc>
        <w:tc>
          <w:tcPr>
            <w:tcW w:w="2727" w:type="dxa"/>
          </w:tcPr>
          <w:p>
            <w:pPr>
              <w:jc w:val="center"/>
              <w:rPr>
                <w:rFonts w:hint="default" w:ascii="Times New Roman" w:hAnsi="Times New Roman" w:cs="Times New Roman"/>
                <w:sz w:val="21"/>
                <w:szCs w:val="21"/>
              </w:rPr>
            </w:pPr>
            <w:r>
              <w:rPr>
                <w:rFonts w:hint="default" w:ascii="Times New Roman" w:hAnsi="Times New Roman" w:cs="Times New Roman"/>
                <w:sz w:val="21"/>
                <w:szCs w:val="21"/>
              </w:rPr>
              <w:t>K=2</w:t>
            </w:r>
          </w:p>
          <w:p>
            <w:pPr>
              <w:jc w:val="center"/>
              <w:rPr>
                <w:rFonts w:hint="default" w:ascii="Times New Roman" w:hAnsi="Times New Roman" w:cs="Times New Roman"/>
                <w:sz w:val="21"/>
                <w:szCs w:val="21"/>
                <w:lang w:val="en-US" w:eastAsia="zh-CN"/>
              </w:rPr>
            </w:pPr>
          </w:p>
        </w:tc>
        <w:tc>
          <w:tcPr>
            <w:tcW w:w="1657" w:type="dxa"/>
          </w:tcPr>
          <w:p>
            <w:pPr>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K=3</w:t>
            </w:r>
          </w:p>
        </w:tc>
        <w:tc>
          <w:tcPr>
            <w:tcW w:w="1574" w:type="dxa"/>
            <w:vAlign w:val="top"/>
          </w:tcPr>
          <w:p>
            <w:pPr>
              <w:jc w:val="center"/>
              <w:rPr>
                <w:rFonts w:hint="default" w:ascii="Times New Roman" w:hAnsi="Times New Roman" w:cs="Times New Roman"/>
                <w:sz w:val="21"/>
                <w:szCs w:val="21"/>
              </w:rPr>
            </w:pPr>
            <w:r>
              <w:rPr>
                <w:rFonts w:hint="default" w:ascii="Times New Roman" w:hAnsi="Times New Roman" w:cs="Times New Roman"/>
                <w:sz w:val="21"/>
                <w:szCs w:val="21"/>
              </w:rPr>
              <w:t>K=4</w:t>
            </w:r>
          </w:p>
        </w:tc>
        <w:tc>
          <w:tcPr>
            <w:tcW w:w="1700" w:type="dxa"/>
          </w:tcPr>
          <w:p>
            <w:pPr>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K=5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861" w:type="dxa"/>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No error</w:t>
            </w:r>
          </w:p>
        </w:tc>
        <w:tc>
          <w:tcPr>
            <w:tcW w:w="2727" w:type="dxa"/>
            <w:vAlign w:val="center"/>
          </w:tcPr>
          <w:p>
            <w:pPr>
              <w:jc w:val="center"/>
              <w:rPr>
                <w:rFonts w:hint="default" w:ascii="Times New Roman" w:hAnsi="Times New Roman" w:eastAsia="等线" w:cs="Times New Roman"/>
                <w:color w:val="000000"/>
                <w:sz w:val="22"/>
                <w:szCs w:val="22"/>
                <w:highlight w:val="none"/>
                <w:lang w:val="en-US" w:eastAsia="zh-CN"/>
              </w:rPr>
            </w:pPr>
            <w:r>
              <w:rPr>
                <w:rFonts w:hint="eastAsia" w:eastAsia="等线" w:cs="Times New Roman"/>
                <w:color w:val="000000"/>
                <w:sz w:val="22"/>
                <w:szCs w:val="22"/>
                <w:highlight w:val="none"/>
                <w:lang w:val="en-US" w:eastAsia="zh-CN"/>
              </w:rPr>
              <w:t>94.02</w:t>
            </w:r>
          </w:p>
        </w:tc>
        <w:tc>
          <w:tcPr>
            <w:tcW w:w="1657" w:type="dxa"/>
            <w:vAlign w:val="center"/>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96.96</w:t>
            </w:r>
          </w:p>
        </w:tc>
        <w:tc>
          <w:tcPr>
            <w:tcW w:w="1574" w:type="dxa"/>
            <w:vAlign w:val="center"/>
          </w:tcPr>
          <w:p>
            <w:pPr>
              <w:jc w:val="center"/>
              <w:rPr>
                <w:rFonts w:hint="default" w:ascii="Times New Roman" w:hAnsi="Times New Roman" w:eastAsia="等线" w:cs="Times New Roman"/>
                <w:color w:val="000000"/>
                <w:sz w:val="22"/>
                <w:szCs w:val="22"/>
                <w:highlight w:val="none"/>
                <w:lang w:val="en-US" w:eastAsia="zh-CN"/>
              </w:rPr>
            </w:pPr>
            <w:r>
              <w:rPr>
                <w:rFonts w:hint="eastAsia" w:eastAsia="等线" w:cs="Times New Roman"/>
                <w:color w:val="000000"/>
                <w:sz w:val="22"/>
                <w:szCs w:val="22"/>
                <w:highlight w:val="none"/>
                <w:lang w:val="en-US" w:eastAsia="zh-CN"/>
              </w:rPr>
              <w:t>98.20</w:t>
            </w:r>
          </w:p>
        </w:tc>
        <w:tc>
          <w:tcPr>
            <w:tcW w:w="1700" w:type="dxa"/>
            <w:vAlign w:val="center"/>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98.66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861" w:type="dxa"/>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0.3</w:t>
            </w:r>
          </w:p>
        </w:tc>
        <w:tc>
          <w:tcPr>
            <w:tcW w:w="2727" w:type="dxa"/>
            <w:vAlign w:val="center"/>
          </w:tcPr>
          <w:p>
            <w:pPr>
              <w:jc w:val="center"/>
              <w:rPr>
                <w:rFonts w:hint="default" w:ascii="Times New Roman" w:hAnsi="Times New Roman" w:eastAsia="等线" w:cs="Times New Roman"/>
                <w:color w:val="000000"/>
                <w:sz w:val="22"/>
                <w:szCs w:val="22"/>
                <w:highlight w:val="none"/>
                <w:lang w:val="en-US" w:eastAsia="zh-CN"/>
              </w:rPr>
            </w:pPr>
            <w:r>
              <w:rPr>
                <w:rFonts w:hint="eastAsia" w:eastAsia="等线" w:cs="Times New Roman"/>
                <w:color w:val="000000"/>
                <w:sz w:val="22"/>
                <w:szCs w:val="22"/>
                <w:highlight w:val="none"/>
                <w:lang w:val="en-US" w:eastAsia="zh-CN"/>
              </w:rPr>
              <w:t>92.18</w:t>
            </w:r>
          </w:p>
        </w:tc>
        <w:tc>
          <w:tcPr>
            <w:tcW w:w="1657" w:type="dxa"/>
            <w:vAlign w:val="center"/>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95.58</w:t>
            </w:r>
          </w:p>
        </w:tc>
        <w:tc>
          <w:tcPr>
            <w:tcW w:w="1574" w:type="dxa"/>
            <w:vAlign w:val="center"/>
          </w:tcPr>
          <w:p>
            <w:pPr>
              <w:jc w:val="center"/>
              <w:rPr>
                <w:rFonts w:hint="default" w:ascii="Times New Roman" w:hAnsi="Times New Roman" w:eastAsia="等线" w:cs="Times New Roman"/>
                <w:color w:val="000000"/>
                <w:sz w:val="22"/>
                <w:szCs w:val="22"/>
                <w:highlight w:val="none"/>
                <w:lang w:val="en-US" w:eastAsia="zh-CN"/>
              </w:rPr>
            </w:pPr>
            <w:r>
              <w:rPr>
                <w:rFonts w:hint="eastAsia" w:eastAsia="等线" w:cs="Times New Roman"/>
                <w:color w:val="000000"/>
                <w:sz w:val="22"/>
                <w:szCs w:val="22"/>
                <w:highlight w:val="none"/>
                <w:lang w:val="en-US" w:eastAsia="zh-CN"/>
              </w:rPr>
              <w:t>97.14</w:t>
            </w:r>
          </w:p>
        </w:tc>
        <w:tc>
          <w:tcPr>
            <w:tcW w:w="1700" w:type="dxa"/>
            <w:vAlign w:val="center"/>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98.14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861" w:type="dxa"/>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0.6</w:t>
            </w:r>
          </w:p>
        </w:tc>
        <w:tc>
          <w:tcPr>
            <w:tcW w:w="2727" w:type="dxa"/>
            <w:vAlign w:val="center"/>
          </w:tcPr>
          <w:p>
            <w:pPr>
              <w:jc w:val="center"/>
              <w:rPr>
                <w:rFonts w:hint="default" w:ascii="Times New Roman" w:hAnsi="Times New Roman" w:eastAsia="等线" w:cs="Times New Roman"/>
                <w:color w:val="000000"/>
                <w:sz w:val="22"/>
                <w:szCs w:val="22"/>
                <w:highlight w:val="none"/>
                <w:lang w:val="en-US" w:eastAsia="zh-CN"/>
              </w:rPr>
            </w:pPr>
            <w:r>
              <w:rPr>
                <w:rFonts w:hint="eastAsia" w:eastAsia="等线" w:cs="Times New Roman"/>
                <w:color w:val="000000"/>
                <w:sz w:val="22"/>
                <w:szCs w:val="22"/>
                <w:highlight w:val="none"/>
                <w:lang w:val="en-US" w:eastAsia="zh-CN"/>
              </w:rPr>
              <w:t>90.10</w:t>
            </w:r>
          </w:p>
        </w:tc>
        <w:tc>
          <w:tcPr>
            <w:tcW w:w="1657" w:type="dxa"/>
            <w:vAlign w:val="center"/>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94.50</w:t>
            </w:r>
          </w:p>
        </w:tc>
        <w:tc>
          <w:tcPr>
            <w:tcW w:w="1574" w:type="dxa"/>
            <w:vAlign w:val="center"/>
          </w:tcPr>
          <w:p>
            <w:pPr>
              <w:jc w:val="center"/>
              <w:rPr>
                <w:rFonts w:hint="default" w:ascii="Times New Roman" w:hAnsi="Times New Roman" w:eastAsia="等线" w:cs="Times New Roman"/>
                <w:color w:val="000000"/>
                <w:sz w:val="22"/>
                <w:szCs w:val="22"/>
                <w:highlight w:val="none"/>
                <w:lang w:val="en-US" w:eastAsia="zh-CN"/>
              </w:rPr>
            </w:pPr>
            <w:r>
              <w:rPr>
                <w:rFonts w:hint="eastAsia" w:eastAsia="等线" w:cs="Times New Roman"/>
                <w:color w:val="000000"/>
                <w:sz w:val="22"/>
                <w:szCs w:val="22"/>
                <w:highlight w:val="none"/>
                <w:lang w:val="en-US" w:eastAsia="zh-CN"/>
              </w:rPr>
              <w:t>96.76</w:t>
            </w:r>
          </w:p>
        </w:tc>
        <w:tc>
          <w:tcPr>
            <w:tcW w:w="1700" w:type="dxa"/>
            <w:vAlign w:val="center"/>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97.66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861" w:type="dxa"/>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1</w:t>
            </w:r>
          </w:p>
        </w:tc>
        <w:tc>
          <w:tcPr>
            <w:tcW w:w="2727" w:type="dxa"/>
            <w:vAlign w:val="center"/>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87.34</w:t>
            </w:r>
          </w:p>
        </w:tc>
        <w:tc>
          <w:tcPr>
            <w:tcW w:w="1657" w:type="dxa"/>
            <w:vAlign w:val="center"/>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92.98</w:t>
            </w:r>
          </w:p>
        </w:tc>
        <w:tc>
          <w:tcPr>
            <w:tcW w:w="1574" w:type="dxa"/>
            <w:vAlign w:val="center"/>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95.58</w:t>
            </w:r>
          </w:p>
        </w:tc>
        <w:tc>
          <w:tcPr>
            <w:tcW w:w="1700" w:type="dxa"/>
            <w:vAlign w:val="center"/>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96.82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861" w:type="dxa"/>
          </w:tcPr>
          <w:p>
            <w:pPr>
              <w:jc w:val="center"/>
              <w:rPr>
                <w:rFonts w:hint="default" w:cs="Times New Roman"/>
                <w:sz w:val="21"/>
                <w:szCs w:val="21"/>
                <w:highlight w:val="none"/>
                <w:lang w:val="en-US" w:eastAsia="zh-CN"/>
              </w:rPr>
            </w:pPr>
            <w:r>
              <w:rPr>
                <w:rFonts w:hint="eastAsia" w:cs="Times New Roman"/>
                <w:sz w:val="21"/>
                <w:szCs w:val="21"/>
                <w:highlight w:val="none"/>
                <w:lang w:val="en-US" w:eastAsia="zh-CN"/>
              </w:rPr>
              <w:t>1.3</w:t>
            </w:r>
          </w:p>
        </w:tc>
        <w:tc>
          <w:tcPr>
            <w:tcW w:w="2727" w:type="dxa"/>
            <w:vAlign w:val="center"/>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85.42</w:t>
            </w:r>
          </w:p>
        </w:tc>
        <w:tc>
          <w:tcPr>
            <w:tcW w:w="1657" w:type="dxa"/>
            <w:vAlign w:val="center"/>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91.96</w:t>
            </w:r>
          </w:p>
        </w:tc>
        <w:tc>
          <w:tcPr>
            <w:tcW w:w="1574" w:type="dxa"/>
            <w:vAlign w:val="center"/>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95.04</w:t>
            </w:r>
          </w:p>
        </w:tc>
        <w:tc>
          <w:tcPr>
            <w:tcW w:w="1700" w:type="dxa"/>
            <w:vAlign w:val="center"/>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96.62</w:t>
            </w:r>
          </w:p>
        </w:tc>
      </w:tr>
    </w:tbl>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val="0"/>
          <w:bCs w:val="0"/>
          <w:szCs w:val="20"/>
          <w:lang w:val="en-US" w:eastAsia="zh-CN"/>
        </w:rPr>
      </w:pPr>
      <w:r>
        <w:rPr>
          <w:rFonts w:hint="eastAsia" w:eastAsia="宋体"/>
          <w:b w:val="0"/>
          <w:bCs w:val="0"/>
          <w:szCs w:val="20"/>
          <w:lang w:val="en-US" w:eastAsia="zh-CN"/>
        </w:rPr>
        <w:t xml:space="preserve">Based on the above prediction accuracy results on Top-K/1, we find that there will be performance degradation due to measurement error. For the metric Top-K/1 when K&gt;1, the prediction is getting larger and larger when K is larger and larger whatever the measurement error is added or not. To my understanding, this metric shall be considered as baseline based on simulation results. </w:t>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bCs/>
          <w:szCs w:val="20"/>
          <w:lang w:val="en-US" w:eastAsia="zh-CN"/>
        </w:rPr>
      </w:pPr>
      <w:r>
        <w:rPr>
          <w:rFonts w:hint="eastAsia" w:eastAsia="宋体"/>
          <w:b/>
          <w:bCs/>
          <w:szCs w:val="20"/>
          <w:lang w:val="en-US" w:eastAsia="zh-CN"/>
        </w:rPr>
        <w:t>Observation 16: The performance degradation will be occurred due to added measurement error.</w:t>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bCs/>
          <w:szCs w:val="20"/>
          <w:lang w:val="en-US" w:eastAsia="zh-CN"/>
        </w:rPr>
      </w:pPr>
      <w:r>
        <w:rPr>
          <w:rFonts w:hint="eastAsia" w:eastAsia="宋体"/>
          <w:b/>
          <w:bCs/>
          <w:szCs w:val="20"/>
          <w:lang w:val="en-US" w:eastAsia="zh-CN"/>
        </w:rPr>
        <w:t>Observation 17: For Top-1, the prediction accuracy is below 86% even if there is no error on test data.</w:t>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bCs/>
          <w:szCs w:val="20"/>
          <w:lang w:val="en-US" w:eastAsia="zh-CN"/>
        </w:rPr>
      </w:pPr>
      <w:r>
        <w:rPr>
          <w:rFonts w:hint="eastAsia" w:eastAsia="宋体"/>
          <w:b/>
          <w:bCs/>
          <w:szCs w:val="20"/>
          <w:lang w:val="en-US" w:eastAsia="zh-CN"/>
        </w:rPr>
        <w:t>Observation 18: The prediction is getting larger and larger when K is larger and larger whatever the measurement error is added or not.</w:t>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bCs/>
          <w:szCs w:val="20"/>
          <w:lang w:val="en-US" w:eastAsia="zh-CN"/>
        </w:rPr>
      </w:pPr>
      <w:r>
        <w:rPr>
          <w:rFonts w:hint="eastAsia" w:eastAsia="宋体"/>
          <w:b/>
          <w:bCs/>
          <w:szCs w:val="20"/>
          <w:lang w:val="en-US" w:eastAsia="zh-CN"/>
        </w:rPr>
        <w:t>Proposal 15: RAN4 shall further study the measurement error impact on different performance metrics if new metrics are introduced.</w:t>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default" w:eastAsia="宋体"/>
          <w:b/>
          <w:bCs/>
          <w:szCs w:val="20"/>
          <w:lang w:val="en-US" w:eastAsia="zh-CN"/>
        </w:rPr>
      </w:pPr>
      <w:r>
        <w:rPr>
          <w:rFonts w:hint="eastAsia" w:eastAsia="宋体"/>
          <w:b/>
          <w:bCs/>
          <w:szCs w:val="20"/>
          <w:lang w:val="en-US" w:eastAsia="zh-CN"/>
        </w:rPr>
        <w:t>Proposal 16: Except measurement error impact, RF error influence shall also be considered in RAN4.</w:t>
      </w:r>
    </w:p>
    <w:p>
      <w:pPr>
        <w:pStyle w:val="2"/>
        <w:widowControl w:val="0"/>
        <w:numPr>
          <w:ilvl w:val="0"/>
          <w:numId w:val="4"/>
        </w:numPr>
        <w:pBdr>
          <w:top w:val="single" w:color="auto" w:sz="12" w:space="1"/>
        </w:pBdr>
        <w:tabs>
          <w:tab w:val="left" w:pos="284"/>
        </w:tabs>
        <w:adjustRightInd w:val="0"/>
        <w:snapToGrid w:val="0"/>
        <w:spacing w:before="480" w:beforeLines="150" w:after="160" w:afterLines="50" w:line="300" w:lineRule="auto"/>
        <w:jc w:val="both"/>
        <w:textAlignment w:val="baseline"/>
        <w:rPr>
          <w:rFonts w:eastAsia="宋体"/>
          <w:lang w:val="en-US" w:eastAsia="zh-CN"/>
        </w:rPr>
      </w:pPr>
      <w:r>
        <w:rPr>
          <w:rFonts w:eastAsia="宋体"/>
          <w:lang w:val="en-US" w:eastAsia="zh-CN"/>
        </w:rPr>
        <w:t>Conclusion</w:t>
      </w:r>
    </w:p>
    <w:p>
      <w:pPr>
        <w:pStyle w:val="12"/>
        <w:tabs>
          <w:tab w:val="left" w:pos="226"/>
          <w:tab w:val="left" w:pos="284"/>
          <w:tab w:val="left" w:pos="5103"/>
        </w:tabs>
        <w:snapToGrid w:val="0"/>
        <w:rPr>
          <w:rFonts w:eastAsia="宋体"/>
          <w:bCs/>
          <w:szCs w:val="20"/>
          <w:lang w:val="en-US" w:eastAsia="zh-CN"/>
        </w:rPr>
      </w:pPr>
      <w:r>
        <w:rPr>
          <w:rFonts w:eastAsia="宋体"/>
          <w:bCs/>
          <w:szCs w:val="20"/>
          <w:lang w:val="en-GB" w:eastAsia="zh-CN"/>
        </w:rPr>
        <w:t xml:space="preserve">In this </w:t>
      </w:r>
      <w:r>
        <w:rPr>
          <w:rFonts w:hint="eastAsia" w:eastAsia="宋体"/>
          <w:bCs/>
          <w:szCs w:val="20"/>
          <w:lang w:val="en-US" w:eastAsia="zh-CN"/>
        </w:rPr>
        <w:t>contribution</w:t>
      </w:r>
      <w:r>
        <w:rPr>
          <w:rFonts w:eastAsia="宋体"/>
          <w:bCs/>
          <w:szCs w:val="20"/>
          <w:lang w:val="en-GB" w:eastAsia="zh-CN"/>
        </w:rPr>
        <w:t xml:space="preserve">, we have the following </w:t>
      </w:r>
      <w:r>
        <w:rPr>
          <w:rFonts w:hint="eastAsia" w:eastAsia="宋体"/>
          <w:bCs/>
          <w:szCs w:val="20"/>
          <w:lang w:val="en-US" w:eastAsia="zh-CN"/>
        </w:rPr>
        <w:t xml:space="preserve">observations and </w:t>
      </w:r>
      <w:r>
        <w:rPr>
          <w:rFonts w:eastAsia="宋体"/>
          <w:bCs/>
          <w:szCs w:val="20"/>
          <w:lang w:val="en-GB" w:eastAsia="zh-CN"/>
        </w:rPr>
        <w:t>proposals</w:t>
      </w:r>
      <w:r>
        <w:rPr>
          <w:rFonts w:hint="eastAsia" w:eastAsia="宋体"/>
          <w:bCs/>
          <w:szCs w:val="20"/>
          <w:lang w:val="en-US" w:eastAsia="zh-CN"/>
        </w:rPr>
        <w:t xml:space="preserve"> </w:t>
      </w:r>
      <w:r>
        <w:rPr>
          <w:rFonts w:eastAsia="宋体"/>
          <w:bCs/>
          <w:szCs w:val="20"/>
          <w:lang w:val="en-GB" w:eastAsia="zh-CN"/>
        </w:rPr>
        <w:t xml:space="preserve">for </w:t>
      </w:r>
      <w:r>
        <w:rPr>
          <w:rFonts w:hint="eastAsia" w:eastAsia="宋体"/>
          <w:bCs/>
          <w:szCs w:val="20"/>
          <w:lang w:val="en-US" w:eastAsia="zh-CN"/>
        </w:rPr>
        <w:t>the AI/ML beam management</w:t>
      </w:r>
      <w:r>
        <w:rPr>
          <w:rFonts w:eastAsia="宋体"/>
          <w:bCs/>
          <w:szCs w:val="20"/>
          <w:lang w:val="en-US" w:eastAsia="zh-CN"/>
        </w:rPr>
        <w:t>:</w:t>
      </w:r>
    </w:p>
    <w:p>
      <w:pPr>
        <w:numPr>
          <w:ilvl w:val="0"/>
          <w:numId w:val="0"/>
        </w:numPr>
        <w:spacing w:before="161" w:beforeLines="50" w:after="161" w:afterLines="50"/>
        <w:jc w:val="both"/>
        <w:rPr>
          <w:rFonts w:hint="eastAsia"/>
          <w:b/>
          <w:bCs/>
          <w:lang w:val="en-US" w:eastAsia="zh-CN"/>
        </w:rPr>
      </w:pPr>
      <w:r>
        <w:rPr>
          <w:rFonts w:hint="eastAsia"/>
          <w:b/>
          <w:bCs/>
          <w:lang w:val="en-US" w:eastAsia="zh-CN"/>
        </w:rPr>
        <w:t>Observation 1: The top-K beams are reported or predicted beams or top-K beams are groundtruth beams.</w:t>
      </w:r>
    </w:p>
    <w:p>
      <w:pPr>
        <w:numPr>
          <w:ilvl w:val="0"/>
          <w:numId w:val="0"/>
        </w:numPr>
        <w:spacing w:before="161" w:beforeLines="50" w:after="161" w:afterLines="50"/>
        <w:jc w:val="both"/>
        <w:rPr>
          <w:rFonts w:hint="eastAsia"/>
          <w:b/>
          <w:bCs/>
          <w:lang w:val="en-US" w:eastAsia="zh-CN"/>
        </w:rPr>
      </w:pPr>
      <w:r>
        <w:rPr>
          <w:rFonts w:hint="eastAsia"/>
          <w:b/>
          <w:bCs/>
          <w:lang w:val="en-US" w:eastAsia="zh-CN"/>
        </w:rPr>
        <w:t>Observation 2: For the top-K beams are groundtruth beams but not the predicted beams, may be some UE reported beams could not be verified or why should we require the RSRP accuracy of the beam that the UE doesn’t even report.</w:t>
      </w:r>
    </w:p>
    <w:p>
      <w:pPr>
        <w:numPr>
          <w:ilvl w:val="0"/>
          <w:numId w:val="0"/>
        </w:numPr>
        <w:spacing w:before="161" w:beforeLines="50" w:after="161" w:afterLines="50"/>
        <w:jc w:val="both"/>
        <w:rPr>
          <w:rFonts w:hint="eastAsia"/>
          <w:b/>
          <w:bCs/>
          <w:lang w:val="en-US" w:eastAsia="zh-CN"/>
        </w:rPr>
      </w:pPr>
      <w:r>
        <w:rPr>
          <w:rFonts w:hint="eastAsia"/>
          <w:b/>
          <w:bCs/>
          <w:lang w:val="en-US" w:eastAsia="zh-CN"/>
        </w:rPr>
        <w:t>Observation 3: What is the standard to verify the performance of AI system based on the absolute RSRP accuracy shall be considered or how to quantify the the small or large L1-RSRP difference shall be studied.</w:t>
      </w:r>
    </w:p>
    <w:p>
      <w:pPr>
        <w:spacing w:before="161" w:beforeLines="50" w:after="161" w:afterLines="50"/>
        <w:jc w:val="both"/>
        <w:rPr>
          <w:rFonts w:hint="eastAsia"/>
          <w:b/>
          <w:bCs/>
          <w:lang w:val="en-US" w:eastAsia="zh-CN"/>
        </w:rPr>
      </w:pPr>
      <w:r>
        <w:rPr>
          <w:rFonts w:hint="eastAsia"/>
          <w:b/>
          <w:bCs/>
          <w:lang w:val="en-US" w:eastAsia="zh-CN"/>
        </w:rPr>
        <w:t>Observation 4: One question is that the proposed margin shall be maintained or smaller than legacy value. There are two options to consider the change of proposed margin:</w:t>
      </w:r>
    </w:p>
    <w:p>
      <w:pPr>
        <w:numPr>
          <w:ilvl w:val="0"/>
          <w:numId w:val="9"/>
        </w:numPr>
        <w:spacing w:before="161" w:beforeLines="50" w:after="161" w:afterLines="50"/>
        <w:ind w:left="420" w:hanging="420"/>
        <w:jc w:val="both"/>
        <w:rPr>
          <w:rFonts w:hint="eastAsia"/>
          <w:b/>
          <w:bCs/>
          <w:lang w:val="en-US" w:eastAsia="zh-CN"/>
        </w:rPr>
      </w:pPr>
      <w:r>
        <w:rPr>
          <w:rFonts w:hint="eastAsia"/>
          <w:b/>
          <w:bCs/>
          <w:lang w:val="en-US" w:eastAsia="zh-CN"/>
        </w:rPr>
        <w:t>Option 1: Maintain the legacy measurement accuracy. In legacy, UE shall do the full beam sweeping in order to confirm the best Rx beam to receive the downlink RS and get the better communication with network. The AI system has already improve the overhead and reduce the complexity than legacy. Thus, maintain the legacy measurement accuracy could be understood.</w:t>
      </w:r>
    </w:p>
    <w:p>
      <w:pPr>
        <w:numPr>
          <w:ilvl w:val="0"/>
          <w:numId w:val="9"/>
        </w:numPr>
        <w:spacing w:before="161" w:beforeLines="50" w:after="161" w:afterLines="50"/>
        <w:ind w:left="420" w:hanging="420"/>
        <w:jc w:val="both"/>
        <w:rPr>
          <w:rFonts w:hint="default"/>
          <w:b/>
          <w:bCs/>
          <w:lang w:val="en-US" w:eastAsia="zh-CN"/>
        </w:rPr>
      </w:pPr>
      <w:r>
        <w:rPr>
          <w:rFonts w:hint="eastAsia"/>
          <w:b/>
          <w:bCs/>
          <w:lang w:val="en-US" w:eastAsia="zh-CN"/>
        </w:rPr>
        <w:t xml:space="preserve">Option 2: Smaller than legacy measurement accuracy. This is a more direct understanding since the AI performance shall have the better performance than legacy and the measurement accuracy shall be tightened. In this way, the performance of AI method could be displayed. </w:t>
      </w:r>
    </w:p>
    <w:p>
      <w:pPr>
        <w:numPr>
          <w:ilvl w:val="0"/>
          <w:numId w:val="0"/>
        </w:numPr>
        <w:spacing w:before="161" w:beforeLines="50" w:after="161" w:afterLines="50"/>
        <w:jc w:val="both"/>
        <w:rPr>
          <w:rFonts w:hint="eastAsia"/>
          <w:b/>
          <w:bCs/>
          <w:lang w:val="en-US" w:eastAsia="zh-CN"/>
        </w:rPr>
      </w:pPr>
      <w:r>
        <w:rPr>
          <w:rFonts w:hint="eastAsia"/>
          <w:b/>
          <w:bCs/>
          <w:lang w:val="en-US" w:eastAsia="zh-CN"/>
        </w:rPr>
        <w:t>Proposal 1: For the absolute RSRP accuracy, the index i shall be the top-K beams based on the predicted beams or UE reported beams instead of the groundtruth beams.</w:t>
      </w:r>
    </w:p>
    <w:p>
      <w:pPr>
        <w:numPr>
          <w:ilvl w:val="0"/>
          <w:numId w:val="0"/>
        </w:numPr>
        <w:spacing w:before="161" w:beforeLines="50" w:after="161" w:afterLines="50"/>
        <w:jc w:val="both"/>
        <w:rPr>
          <w:rFonts w:hint="default"/>
          <w:b/>
          <w:bCs/>
          <w:lang w:val="en-US" w:eastAsia="zh-CN"/>
        </w:rPr>
      </w:pPr>
      <w:r>
        <w:rPr>
          <w:rFonts w:hint="eastAsia"/>
          <w:b/>
          <w:bCs/>
          <w:lang w:val="en-US" w:eastAsia="zh-CN"/>
        </w:rPr>
        <w:t>Proposal 2: One margin for the absolute RSRP accuracy shall be studied in order to verify the performance of AI system. The proposed margin could be equal to and smaller than the legacy measurement accuracy requirements.</w:t>
      </w:r>
    </w:p>
    <w:p>
      <w:pPr>
        <w:jc w:val="both"/>
        <w:rPr>
          <w:rFonts w:hint="eastAsia"/>
          <w:b/>
          <w:bCs/>
          <w:lang w:val="en-US" w:eastAsia="zh-CN"/>
        </w:rPr>
      </w:pPr>
      <w:r>
        <w:rPr>
          <w:rFonts w:hint="eastAsia"/>
          <w:b/>
          <w:bCs/>
          <w:lang w:val="en-US" w:eastAsia="zh-CN"/>
        </w:rPr>
        <w:t>Observation 5: In current RAN4 spec, we do not observe the limitation on absolute RSRP accuracy.</w:t>
      </w:r>
    </w:p>
    <w:p>
      <w:pPr>
        <w:jc w:val="both"/>
        <w:rPr>
          <w:rFonts w:hint="default"/>
          <w:b/>
          <w:bCs/>
          <w:lang w:val="en-US" w:eastAsia="zh-CN"/>
        </w:rPr>
      </w:pPr>
      <w:r>
        <w:rPr>
          <w:rFonts w:hint="eastAsia"/>
          <w:b/>
          <w:bCs/>
          <w:lang w:val="en-US" w:eastAsia="zh-CN"/>
        </w:rPr>
        <w:t>Proposal 3: RAN4 shall consider absolute RSRP accuracy requirement applying to Top-1 of predicted beams and other beams.</w:t>
      </w:r>
    </w:p>
    <w:p>
      <w:pPr>
        <w:jc w:val="both"/>
        <w:rPr>
          <w:rFonts w:hint="eastAsia"/>
          <w:b/>
          <w:bCs/>
          <w:lang w:val="en-US" w:eastAsia="zh-CN"/>
        </w:rPr>
      </w:pPr>
      <w:r>
        <w:rPr>
          <w:rFonts w:hint="eastAsia"/>
          <w:b/>
          <w:bCs/>
          <w:lang w:val="en-US" w:eastAsia="zh-CN"/>
        </w:rPr>
        <w:t xml:space="preserve">Observation 6: The whole principle for defining relative RSRP accuracy is that the predicted L1-RSRP minus ground truth beams which is similar to legacy definition. </w:t>
      </w:r>
    </w:p>
    <w:p>
      <w:pPr>
        <w:jc w:val="both"/>
        <w:rPr>
          <w:rFonts w:hint="eastAsia"/>
          <w:b/>
          <w:bCs/>
          <w:lang w:val="en-US" w:eastAsia="zh-CN"/>
        </w:rPr>
      </w:pPr>
      <w:r>
        <w:rPr>
          <w:rFonts w:hint="eastAsia"/>
          <w:b/>
          <w:bCs/>
          <w:lang w:val="en-US" w:eastAsia="zh-CN"/>
        </w:rPr>
        <w:t>Observation 7: If the reported L1-RSRP is reported measured RSRP, this components will disappear based on current formulation.</w:t>
      </w:r>
    </w:p>
    <w:p>
      <w:pPr>
        <w:jc w:val="both"/>
        <w:rPr>
          <w:rFonts w:hint="default"/>
          <w:b/>
          <w:bCs/>
          <w:lang w:val="en-US" w:eastAsia="zh-CN"/>
        </w:rPr>
      </w:pPr>
      <w:r>
        <w:rPr>
          <w:rFonts w:hint="eastAsia"/>
          <w:b/>
          <w:bCs/>
          <w:lang w:val="en-US" w:eastAsia="zh-CN"/>
        </w:rPr>
        <w:t>Proposal 4: The reported L1-RSRP shall be reported predicted L1-RSRP not the measured RSRP.</w:t>
      </w:r>
    </w:p>
    <w:p>
      <w:pPr>
        <w:jc w:val="both"/>
        <w:rPr>
          <w:rFonts w:hint="eastAsia"/>
          <w:b/>
          <w:bCs/>
          <w:lang w:val="en-US" w:eastAsia="zh-CN"/>
        </w:rPr>
      </w:pPr>
      <w:r>
        <w:rPr>
          <w:rFonts w:hint="eastAsia"/>
          <w:b/>
          <w:bCs/>
          <w:lang w:val="en-US" w:eastAsia="zh-CN"/>
        </w:rPr>
        <w:t>Observation 8: Top-K/1 is the relaxation of Top-1/1, UE vendors has extended margin on this performance metric and the prediction accuracy can be up to 97% even the measurement error has been added.</w:t>
      </w:r>
    </w:p>
    <w:p>
      <w:pPr>
        <w:jc w:val="both"/>
        <w:rPr>
          <w:rFonts w:hint="eastAsia"/>
          <w:b/>
          <w:bCs/>
          <w:lang w:val="en-US" w:eastAsia="zh-CN"/>
        </w:rPr>
      </w:pPr>
      <w:r>
        <w:rPr>
          <w:rFonts w:hint="eastAsia"/>
          <w:b/>
          <w:bCs/>
          <w:lang w:val="en-US" w:eastAsia="zh-CN"/>
        </w:rPr>
        <w:t>Observation 9: If the margin is set too large, the threshold for performance validation becomes low enough that any UE can pass the test, leading to the realization that AI</w:t>
      </w:r>
      <w:r>
        <w:rPr>
          <w:rFonts w:hint="default"/>
          <w:b/>
          <w:bCs/>
          <w:lang w:val="en-US" w:eastAsia="zh-CN"/>
        </w:rPr>
        <w:t>’</w:t>
      </w:r>
      <w:r>
        <w:rPr>
          <w:rFonts w:hint="eastAsia"/>
          <w:b/>
          <w:bCs/>
          <w:lang w:val="en-US" w:eastAsia="zh-CN"/>
        </w:rPr>
        <w:t>s predictive capabilities are actually not as good as legacy methods.</w:t>
      </w:r>
    </w:p>
    <w:p>
      <w:pPr>
        <w:jc w:val="both"/>
        <w:rPr>
          <w:rFonts w:hint="eastAsia"/>
          <w:b/>
          <w:bCs/>
          <w:lang w:val="en-US" w:eastAsia="zh-CN"/>
        </w:rPr>
      </w:pPr>
      <w:r>
        <w:rPr>
          <w:rFonts w:hint="eastAsia"/>
          <w:b/>
          <w:bCs/>
          <w:lang w:val="en-US" w:eastAsia="zh-CN"/>
        </w:rPr>
        <w:t>Proposal 5: At least x=0 shall be considered in performance metrics.</w:t>
      </w:r>
    </w:p>
    <w:p>
      <w:pPr>
        <w:jc w:val="both"/>
        <w:rPr>
          <w:rFonts w:hint="eastAsia"/>
          <w:b/>
          <w:bCs/>
          <w:lang w:val="en-US" w:eastAsia="zh-CN"/>
        </w:rPr>
      </w:pPr>
      <w:r>
        <w:rPr>
          <w:rFonts w:hint="eastAsia"/>
          <w:b/>
          <w:bCs/>
          <w:lang w:val="en-US" w:eastAsia="zh-CN"/>
        </w:rPr>
        <w:t>Proposal 6: The concrete value of x when x&gt;0 shall be defined based on simulation results.</w:t>
      </w:r>
    </w:p>
    <w:p>
      <w:pPr>
        <w:jc w:val="both"/>
        <w:rPr>
          <w:rFonts w:hint="eastAsia"/>
          <w:lang w:val="en-US" w:eastAsia="zh-CN"/>
        </w:rPr>
      </w:pPr>
      <w:r>
        <w:rPr>
          <w:rFonts w:hint="eastAsia"/>
          <w:b/>
          <w:bCs/>
          <w:lang w:val="en-US" w:eastAsia="zh-CN"/>
        </w:rPr>
        <w:t>Proposal 7: The value of x shall not be set too large in order to guarantee the AI performance test and prevent UE easily passes the test.</w:t>
      </w:r>
      <w:r>
        <w:rPr>
          <w:rFonts w:hint="eastAsia"/>
          <w:lang w:val="en-US" w:eastAsia="zh-CN"/>
        </w:rPr>
        <w:t xml:space="preserve"> </w:t>
      </w:r>
    </w:p>
    <w:p>
      <w:pPr>
        <w:numPr>
          <w:ilvl w:val="0"/>
          <w:numId w:val="0"/>
        </w:numPr>
        <w:ind w:leftChars="0"/>
        <w:jc w:val="both"/>
        <w:rPr>
          <w:rFonts w:hint="eastAsia"/>
          <w:b/>
          <w:bCs/>
          <w:lang w:val="en-US" w:eastAsia="zh-CN"/>
        </w:rPr>
      </w:pPr>
      <w:r>
        <w:rPr>
          <w:rFonts w:hint="eastAsia"/>
          <w:b/>
          <w:bCs/>
          <w:lang w:val="en-US" w:eastAsia="zh-CN"/>
        </w:rPr>
        <w:t>Observation 10: the maximum ground truth beam among Top-K beams has small difference or equal to Top-1 beam if only Top-1 beam is considered. The test will definitely pass. Nonetheless, if the rest of beams in Top-K predicted beams are worse beams, the whole AI/ML performance will be wrongly judged as successful.</w:t>
      </w:r>
    </w:p>
    <w:p>
      <w:pPr>
        <w:numPr>
          <w:ilvl w:val="0"/>
          <w:numId w:val="0"/>
        </w:numPr>
        <w:ind w:leftChars="0"/>
        <w:jc w:val="both"/>
        <w:rPr>
          <w:rFonts w:hint="default"/>
          <w:b/>
          <w:bCs/>
          <w:lang w:val="en-US" w:eastAsia="zh-CN"/>
        </w:rPr>
      </w:pPr>
      <w:r>
        <w:rPr>
          <w:rFonts w:hint="eastAsia"/>
          <w:b/>
          <w:bCs/>
          <w:lang w:val="en-US" w:eastAsia="zh-CN"/>
        </w:rPr>
        <w:t>Proposal 8: RAN4 shall support to introduce Top-N beams for beam ID prediction to ensure high reliability of AI/ML.</w:t>
      </w:r>
    </w:p>
    <w:p>
      <w:pPr>
        <w:numPr>
          <w:ilvl w:val="0"/>
          <w:numId w:val="0"/>
        </w:numPr>
        <w:ind w:leftChars="0"/>
        <w:jc w:val="both"/>
        <w:rPr>
          <w:rFonts w:hint="eastAsia"/>
          <w:b/>
          <w:bCs/>
          <w:lang w:val="en-US" w:eastAsia="zh-CN"/>
        </w:rPr>
      </w:pPr>
      <w:r>
        <w:rPr>
          <w:rFonts w:hint="eastAsia"/>
          <w:b/>
          <w:bCs/>
          <w:lang w:val="en-US" w:eastAsia="zh-CN"/>
        </w:rPr>
        <w:t>Proposal 9: Different interpretation of Top-K/N% could be seen as below:</w:t>
      </w:r>
    </w:p>
    <w:p>
      <w:pPr>
        <w:numPr>
          <w:ilvl w:val="0"/>
          <w:numId w:val="17"/>
        </w:numPr>
        <w:ind w:left="420" w:leftChars="0"/>
        <w:jc w:val="both"/>
        <w:rPr>
          <w:rFonts w:hint="default"/>
          <w:b/>
          <w:bCs/>
          <w:lang w:val="en-US" w:eastAsia="zh-CN"/>
        </w:rPr>
      </w:pPr>
      <w:r>
        <w:rPr>
          <w:rFonts w:hint="eastAsia"/>
          <w:b/>
          <w:bCs/>
          <w:lang w:val="en-US" w:eastAsia="zh-CN"/>
        </w:rPr>
        <w:t>One of Top-N beams contains in Top-K predicted beams; (like RAN1</w:t>
      </w:r>
      <w:r>
        <w:rPr>
          <w:rFonts w:hint="default"/>
          <w:b/>
          <w:bCs/>
          <w:lang w:val="en-US" w:eastAsia="zh-CN"/>
        </w:rPr>
        <w:t>’</w:t>
      </w:r>
      <w:r>
        <w:rPr>
          <w:rFonts w:hint="eastAsia"/>
          <w:b/>
          <w:bCs/>
          <w:lang w:val="en-US" w:eastAsia="zh-CN"/>
        </w:rPr>
        <w:t>s agreement on performance monitoring)</w:t>
      </w:r>
    </w:p>
    <w:p>
      <w:pPr>
        <w:numPr>
          <w:ilvl w:val="0"/>
          <w:numId w:val="17"/>
        </w:numPr>
        <w:ind w:left="420" w:leftChars="0"/>
        <w:jc w:val="both"/>
        <w:rPr>
          <w:rFonts w:hint="default"/>
          <w:b/>
          <w:bCs/>
          <w:lang w:val="en-US" w:eastAsia="zh-CN"/>
        </w:rPr>
      </w:pPr>
      <w:r>
        <w:rPr>
          <w:rFonts w:hint="eastAsia"/>
          <w:b/>
          <w:bCs/>
          <w:lang w:val="en-US" w:eastAsia="zh-CN"/>
        </w:rPr>
        <w:t>All of Top-N beams contains in Top-K predicted beams with corresponding order.</w:t>
      </w:r>
    </w:p>
    <w:p>
      <w:pPr>
        <w:numPr>
          <w:ilvl w:val="0"/>
          <w:numId w:val="17"/>
        </w:numPr>
        <w:ind w:left="420" w:leftChars="0"/>
        <w:jc w:val="both"/>
        <w:rPr>
          <w:rFonts w:hint="default"/>
          <w:b/>
          <w:bCs/>
          <w:lang w:val="en-US" w:eastAsia="zh-CN"/>
        </w:rPr>
      </w:pPr>
      <w:r>
        <w:rPr>
          <w:rFonts w:hint="eastAsia"/>
          <w:b/>
          <w:bCs/>
          <w:lang w:val="en-US" w:eastAsia="zh-CN"/>
        </w:rPr>
        <w:t>All of Top-N beams contains in Top-K predicted beams without corresponding order.</w:t>
      </w:r>
    </w:p>
    <w:p>
      <w:pPr>
        <w:numPr>
          <w:ilvl w:val="0"/>
          <w:numId w:val="0"/>
        </w:numPr>
        <w:ind w:leftChars="0"/>
        <w:jc w:val="both"/>
        <w:rPr>
          <w:rFonts w:hint="eastAsia"/>
          <w:b/>
          <w:bCs/>
          <w:lang w:val="en-US" w:eastAsia="zh-CN"/>
        </w:rPr>
      </w:pPr>
      <w:r>
        <w:rPr>
          <w:rFonts w:hint="eastAsia"/>
          <w:b/>
          <w:bCs/>
          <w:lang w:val="en-US" w:eastAsia="zh-CN"/>
        </w:rPr>
        <w:t>Observation 11: For interpretation A, the test will be passed easily if only one of Top-N in Top-K predicted beams.</w:t>
      </w:r>
    </w:p>
    <w:p>
      <w:pPr>
        <w:numPr>
          <w:ilvl w:val="0"/>
          <w:numId w:val="0"/>
        </w:numPr>
        <w:ind w:leftChars="0"/>
        <w:jc w:val="both"/>
        <w:rPr>
          <w:rFonts w:hint="eastAsia"/>
          <w:b/>
          <w:bCs/>
          <w:lang w:val="en-US" w:eastAsia="zh-CN"/>
        </w:rPr>
      </w:pPr>
      <w:r>
        <w:rPr>
          <w:rFonts w:hint="eastAsia"/>
          <w:b/>
          <w:bCs/>
          <w:lang w:val="en-US" w:eastAsia="zh-CN"/>
        </w:rPr>
        <w:t>Observation 12: For interpretation B, compared to interpretation A, this metric will not cause test passes easily, but this metric has large probability that the test will not be passed since the conditions are quite strict.</w:t>
      </w:r>
    </w:p>
    <w:p>
      <w:pPr>
        <w:numPr>
          <w:ilvl w:val="0"/>
          <w:numId w:val="0"/>
        </w:numPr>
        <w:ind w:leftChars="0"/>
        <w:jc w:val="both"/>
        <w:rPr>
          <w:rFonts w:hint="eastAsia"/>
          <w:b/>
          <w:bCs/>
          <w:lang w:val="en-US" w:eastAsia="zh-CN"/>
        </w:rPr>
      </w:pPr>
      <w:r>
        <w:rPr>
          <w:rFonts w:hint="eastAsia"/>
          <w:b/>
          <w:bCs/>
          <w:lang w:val="en-US" w:eastAsia="zh-CN"/>
        </w:rPr>
        <w:t>Observation 13: For interpretation C, only guarantee all Top-N beams contain in Top-K beams, Top-N beams are measured by UE which can be assumed as groundtruth beams. That is, if all groundtruth beams contain in AI/ML predicted Top-K beams, the test will be passed.</w:t>
      </w:r>
    </w:p>
    <w:p>
      <w:pPr>
        <w:numPr>
          <w:ilvl w:val="0"/>
          <w:numId w:val="0"/>
        </w:numPr>
        <w:ind w:leftChars="0"/>
        <w:jc w:val="both"/>
        <w:rPr>
          <w:rFonts w:hint="default"/>
          <w:b/>
          <w:bCs/>
          <w:lang w:val="en-US" w:eastAsia="zh-CN"/>
        </w:rPr>
      </w:pPr>
      <w:r>
        <w:rPr>
          <w:rFonts w:hint="eastAsia"/>
          <w:b/>
          <w:bCs/>
          <w:lang w:val="en-US" w:eastAsia="zh-CN"/>
        </w:rPr>
        <w:t>Proposal 10: The definition of Top-K/N% shall be all of Top-N beams contains in Top-K predicted beams without corresponding order.</w:t>
      </w:r>
    </w:p>
    <w:p>
      <w:pPr>
        <w:numPr>
          <w:ilvl w:val="-1"/>
          <w:numId w:val="0"/>
        </w:numPr>
        <w:ind w:left="0" w:firstLine="0"/>
        <w:jc w:val="both"/>
        <w:rPr>
          <w:rFonts w:hint="eastAsia"/>
          <w:b/>
          <w:bCs/>
          <w:lang w:val="en-US" w:eastAsia="zh-CN"/>
        </w:rPr>
      </w:pPr>
      <w:r>
        <w:rPr>
          <w:rFonts w:hint="eastAsia"/>
          <w:b/>
          <w:bCs/>
          <w:lang w:val="en-US" w:eastAsia="zh-CN"/>
        </w:rPr>
        <w:t>Proposal 11: The potential components in prediction delay contains three parts:</w:t>
      </w:r>
    </w:p>
    <w:p>
      <w:pPr>
        <w:numPr>
          <w:ilvl w:val="0"/>
          <w:numId w:val="18"/>
        </w:numPr>
        <w:ind w:left="420" w:hanging="420"/>
        <w:jc w:val="both"/>
        <w:rPr>
          <w:rFonts w:hint="eastAsia"/>
          <w:b/>
          <w:bCs/>
          <w:lang w:val="en-US" w:eastAsia="zh-CN"/>
        </w:rPr>
      </w:pPr>
      <w:r>
        <w:rPr>
          <w:rFonts w:hint="eastAsia"/>
          <w:b/>
          <w:bCs/>
          <w:lang w:val="en-US" w:eastAsia="zh-CN"/>
        </w:rPr>
        <w:t>Measurement delay: The time for measurement of SetB which is the input for inference.</w:t>
      </w:r>
    </w:p>
    <w:p>
      <w:pPr>
        <w:numPr>
          <w:ilvl w:val="0"/>
          <w:numId w:val="18"/>
        </w:numPr>
        <w:ind w:left="420" w:hanging="420"/>
        <w:jc w:val="both"/>
        <w:rPr>
          <w:rFonts w:hint="eastAsia"/>
          <w:b/>
          <w:bCs/>
          <w:lang w:val="en-US" w:eastAsia="zh-CN"/>
        </w:rPr>
      </w:pPr>
      <w:r>
        <w:rPr>
          <w:rFonts w:hint="eastAsia"/>
          <w:b/>
          <w:bCs/>
          <w:lang w:val="en-US" w:eastAsia="zh-CN"/>
        </w:rPr>
        <w:t>Inference delay: The time for inference from starting performing inference to generate the prediction results.</w:t>
      </w:r>
    </w:p>
    <w:p>
      <w:pPr>
        <w:numPr>
          <w:ilvl w:val="0"/>
          <w:numId w:val="18"/>
        </w:numPr>
        <w:ind w:left="420" w:hanging="420"/>
        <w:jc w:val="both"/>
        <w:rPr>
          <w:rFonts w:hint="default"/>
          <w:b/>
          <w:bCs/>
          <w:lang w:val="en-US" w:eastAsia="zh-CN"/>
        </w:rPr>
      </w:pPr>
      <w:r>
        <w:rPr>
          <w:rFonts w:hint="eastAsia"/>
          <w:b/>
          <w:bCs/>
          <w:highlight w:val="none"/>
          <w:lang w:val="en-US" w:eastAsia="zh-CN"/>
        </w:rPr>
        <w:t>Reporting delay: The time between the report triggering and the point when the UE starts to transmit the outputs over the air.</w:t>
      </w:r>
    </w:p>
    <w:p>
      <w:pPr>
        <w:numPr>
          <w:ilvl w:val="-1"/>
          <w:numId w:val="0"/>
        </w:numPr>
        <w:spacing w:before="161" w:beforeLines="50" w:after="161" w:afterLines="50"/>
        <w:ind w:left="0" w:firstLine="0"/>
        <w:jc w:val="both"/>
        <w:rPr>
          <w:rFonts w:hint="eastAsia"/>
          <w:b/>
          <w:bCs/>
          <w:lang w:val="en-US" w:eastAsia="zh-CN"/>
        </w:rPr>
      </w:pPr>
      <w:r>
        <w:rPr>
          <w:rFonts w:hint="eastAsia"/>
          <w:b/>
          <w:bCs/>
          <w:lang w:val="en-US" w:eastAsia="zh-CN"/>
        </w:rPr>
        <w:t>Proposal 12: For measurement delay, the legacy L1-RSRP measurement period shall be reused.</w:t>
      </w:r>
    </w:p>
    <w:p>
      <w:pPr>
        <w:numPr>
          <w:ilvl w:val="-1"/>
          <w:numId w:val="0"/>
        </w:numPr>
        <w:spacing w:before="161" w:beforeLines="50" w:after="161" w:afterLines="50"/>
        <w:ind w:left="0" w:firstLine="0"/>
        <w:jc w:val="both"/>
        <w:rPr>
          <w:rFonts w:hint="default"/>
          <w:b/>
          <w:bCs/>
          <w:lang w:val="en-US" w:eastAsia="zh-CN"/>
        </w:rPr>
      </w:pPr>
      <w:r>
        <w:rPr>
          <w:rFonts w:hint="eastAsia"/>
          <w:b/>
          <w:bCs/>
          <w:lang w:val="en-US" w:eastAsia="zh-CN"/>
        </w:rPr>
        <w:t>Observation 14: The inference delay maybe different due to model complexity, such as the number of hidden layers, hardware architecture (CPU/GPU) or other parameters of AI/ML models. Thus, the reporting delay including inference delay vary from UE to UE.</w:t>
      </w:r>
    </w:p>
    <w:p>
      <w:pPr>
        <w:numPr>
          <w:ilvl w:val="-1"/>
          <w:numId w:val="0"/>
        </w:numPr>
        <w:spacing w:before="161" w:beforeLines="50" w:after="161" w:afterLines="50"/>
        <w:ind w:left="0" w:firstLine="0"/>
        <w:jc w:val="both"/>
        <w:rPr>
          <w:rFonts w:hint="default"/>
          <w:b/>
          <w:bCs/>
          <w:lang w:val="en-US" w:eastAsia="zh-CN"/>
        </w:rPr>
      </w:pPr>
      <w:r>
        <w:rPr>
          <w:rFonts w:hint="eastAsia"/>
          <w:b/>
          <w:bCs/>
          <w:lang w:val="en-US" w:eastAsia="zh-CN"/>
        </w:rPr>
        <w:t>Proposal 13: For reporting delay, RAN4 shall not define one fixed value and wait for RAN1</w:t>
      </w:r>
      <w:r>
        <w:rPr>
          <w:rFonts w:hint="default"/>
          <w:b/>
          <w:bCs/>
          <w:lang w:val="en-US" w:eastAsia="zh-CN"/>
        </w:rPr>
        <w:t>’</w:t>
      </w:r>
      <w:r>
        <w:rPr>
          <w:rFonts w:hint="eastAsia"/>
          <w:b/>
          <w:bCs/>
          <w:lang w:val="en-US" w:eastAsia="zh-CN"/>
        </w:rPr>
        <w:t>s agreement.</w:t>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eastAsia="宋体"/>
          <w:bCs/>
          <w:szCs w:val="20"/>
          <w:lang w:val="en-GB" w:eastAsia="zh-CN"/>
        </w:rPr>
      </w:pPr>
      <w:r>
        <w:rPr>
          <w:rFonts w:hint="eastAsia" w:eastAsia="宋体"/>
          <w:b/>
          <w:bCs/>
          <w:szCs w:val="20"/>
          <w:lang w:val="en-US" w:eastAsia="zh-CN"/>
        </w:rPr>
        <w:t>Proposal 14: The test procedure shall be clarified and unified firstly:</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57"/>
        <w:gridCol w:w="47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4757" w:type="dxa"/>
            <w:vMerge w:val="restart"/>
          </w:tcPr>
          <w:p>
            <w:pPr>
              <w:spacing w:after="120"/>
              <w:jc w:val="both"/>
              <w:rPr>
                <w:rFonts w:hint="default" w:eastAsia="宋体"/>
                <w:b/>
                <w:bCs/>
                <w:szCs w:val="20"/>
                <w:vertAlign w:val="baseline"/>
                <w:lang w:val="en-US" w:eastAsia="zh-CN"/>
              </w:rPr>
            </w:pPr>
            <w:r>
              <w:rPr>
                <w:rFonts w:hint="eastAsia" w:eastAsia="宋体"/>
                <w:b/>
                <w:bCs/>
                <w:szCs w:val="20"/>
                <w:vertAlign w:val="baseline"/>
                <w:lang w:val="en-US" w:eastAsia="zh-CN"/>
              </w:rPr>
              <w:t>Training phase</w:t>
            </w: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1.TE configure resource sets for measurement of Set B and beam report of Set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4757" w:type="dxa"/>
            <w:vMerge w:val="continue"/>
          </w:tcPr>
          <w:p>
            <w:pPr>
              <w:spacing w:after="120"/>
              <w:jc w:val="both"/>
              <w:rPr>
                <w:b/>
                <w:bCs/>
              </w:rPr>
            </w:pP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2.UE measures Set B as the model input.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4757" w:type="dxa"/>
            <w:vMerge w:val="restart"/>
          </w:tcPr>
          <w:p>
            <w:pPr>
              <w:spacing w:after="120"/>
              <w:jc w:val="both"/>
              <w:rPr>
                <w:rFonts w:hint="default" w:eastAsia="宋体"/>
                <w:b/>
                <w:bCs/>
                <w:szCs w:val="20"/>
                <w:vertAlign w:val="baseline"/>
                <w:lang w:val="en-US" w:eastAsia="zh-CN"/>
              </w:rPr>
            </w:pPr>
            <w:r>
              <w:rPr>
                <w:rFonts w:hint="eastAsia" w:eastAsia="宋体"/>
                <w:b/>
                <w:bCs/>
                <w:szCs w:val="20"/>
                <w:vertAlign w:val="baseline"/>
                <w:lang w:val="en-US" w:eastAsia="zh-CN"/>
              </w:rPr>
              <w:t>Inference phase</w:t>
            </w: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3.Generates the test setup environment for Set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4757" w:type="dxa"/>
            <w:vMerge w:val="continue"/>
          </w:tcPr>
          <w:p>
            <w:pPr>
              <w:spacing w:after="120"/>
              <w:jc w:val="both"/>
              <w:rPr>
                <w:b/>
                <w:bCs/>
              </w:rPr>
            </w:pP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4.UE predicts best Tx beam/ L1-RSRP in Set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4757" w:type="dxa"/>
            <w:vMerge w:val="continue"/>
          </w:tcPr>
          <w:p>
            <w:pPr>
              <w:spacing w:after="120"/>
              <w:jc w:val="both"/>
              <w:rPr>
                <w:rFonts w:hint="eastAsia" w:eastAsia="宋体"/>
                <w:b/>
                <w:bCs/>
                <w:szCs w:val="20"/>
                <w:vertAlign w:val="baseline"/>
                <w:lang w:val="en-US" w:eastAsia="zh-CN"/>
              </w:rPr>
            </w:pP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5.UE reports predicted best Tx beam/ L1-RSRP to TE in Set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757" w:type="dxa"/>
            <w:vMerge w:val="restart"/>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Groundtruth phase (measurement of RSRP with high SNR)</w:t>
            </w: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6.TE configures resource sets for measurement of Set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757" w:type="dxa"/>
            <w:vMerge w:val="continue"/>
          </w:tcPr>
          <w:p>
            <w:pPr>
              <w:spacing w:after="120"/>
              <w:jc w:val="both"/>
              <w:rPr>
                <w:b/>
                <w:bCs/>
              </w:rPr>
            </w:pP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7.Generates the test setup environment for Set A (including high SNR).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757" w:type="dxa"/>
            <w:vMerge w:val="continue"/>
          </w:tcPr>
          <w:p>
            <w:pPr>
              <w:spacing w:after="120"/>
              <w:jc w:val="both"/>
              <w:rPr>
                <w:rFonts w:hint="eastAsia" w:eastAsia="宋体"/>
                <w:b/>
                <w:bCs/>
                <w:szCs w:val="20"/>
                <w:vertAlign w:val="baseline"/>
                <w:lang w:val="en-US" w:eastAsia="zh-CN"/>
              </w:rPr>
            </w:pP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8.UE measures Set A under high SNR condition as ground truth.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757" w:type="dxa"/>
            <w:vMerge w:val="continue"/>
          </w:tcPr>
          <w:p>
            <w:pPr>
              <w:spacing w:after="120"/>
              <w:jc w:val="both"/>
              <w:rPr>
                <w:rFonts w:hint="eastAsia" w:eastAsia="宋体"/>
                <w:b/>
                <w:bCs/>
                <w:szCs w:val="20"/>
                <w:vertAlign w:val="baseline"/>
                <w:lang w:val="en-US" w:eastAsia="zh-CN"/>
              </w:rPr>
            </w:pP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9.UE reports groundtruth (measurement on Set A) to 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TE evaluation phase</w:t>
            </w: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10.Evaluates the predicted results and groundtruth and judge the performance degradation</w:t>
            </w:r>
          </w:p>
        </w:tc>
      </w:tr>
    </w:tbl>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bCs/>
          <w:szCs w:val="20"/>
          <w:lang w:val="en-US" w:eastAsia="zh-CN"/>
        </w:rPr>
      </w:pPr>
      <w:r>
        <w:rPr>
          <w:rFonts w:hint="eastAsia" w:eastAsia="宋体"/>
          <w:b/>
          <w:bCs/>
          <w:szCs w:val="20"/>
          <w:lang w:val="en-US" w:eastAsia="zh-CN"/>
        </w:rPr>
        <w:t>Observation 15: The smaller SNR conditions, the larger measurement error.</w:t>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bCs/>
          <w:szCs w:val="20"/>
          <w:lang w:val="en-US" w:eastAsia="zh-CN"/>
        </w:rPr>
      </w:pPr>
      <w:r>
        <w:rPr>
          <w:rFonts w:hint="eastAsia" w:eastAsia="宋体"/>
          <w:b/>
          <w:bCs/>
          <w:szCs w:val="20"/>
          <w:lang w:val="en-US" w:eastAsia="zh-CN"/>
        </w:rPr>
        <w:t>Observation 16: The performance degradation will be occurred due to added measurement error.</w:t>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bCs/>
          <w:szCs w:val="20"/>
          <w:lang w:val="en-US" w:eastAsia="zh-CN"/>
        </w:rPr>
      </w:pPr>
      <w:r>
        <w:rPr>
          <w:rFonts w:hint="eastAsia" w:eastAsia="宋体"/>
          <w:b/>
          <w:bCs/>
          <w:szCs w:val="20"/>
          <w:lang w:val="en-US" w:eastAsia="zh-CN"/>
        </w:rPr>
        <w:t>Observation 17: For Top-1, the prediction accuracy is below 86% even if there is no error on test data.</w:t>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bCs/>
          <w:szCs w:val="20"/>
          <w:lang w:val="en-US" w:eastAsia="zh-CN"/>
        </w:rPr>
      </w:pPr>
      <w:r>
        <w:rPr>
          <w:rFonts w:hint="eastAsia" w:eastAsia="宋体"/>
          <w:b/>
          <w:bCs/>
          <w:szCs w:val="20"/>
          <w:lang w:val="en-US" w:eastAsia="zh-CN"/>
        </w:rPr>
        <w:t>Observation 18: The prediction is getting larger and larger when K is larger and larger whatever the measurement error is added or not.</w:t>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bCs/>
          <w:szCs w:val="20"/>
          <w:lang w:val="en-US" w:eastAsia="zh-CN"/>
        </w:rPr>
      </w:pPr>
      <w:r>
        <w:rPr>
          <w:rFonts w:hint="eastAsia" w:eastAsia="宋体"/>
          <w:b/>
          <w:bCs/>
          <w:szCs w:val="20"/>
          <w:lang w:val="en-US" w:eastAsia="zh-CN"/>
        </w:rPr>
        <w:t>Proposal 15: RAN4 shall further study the measurement error impact on different performance metrics if new metrics are introduced.</w:t>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Times New Roman"/>
          <w:b/>
          <w:bCs/>
          <w:lang w:val="en-US" w:eastAsia="zh-CN"/>
        </w:rPr>
      </w:pPr>
      <w:r>
        <w:rPr>
          <w:rFonts w:hint="eastAsia" w:eastAsia="宋体"/>
          <w:b/>
          <w:bCs/>
          <w:szCs w:val="20"/>
          <w:lang w:val="en-US" w:eastAsia="zh-CN"/>
        </w:rPr>
        <w:t>Proposal 16: Except measurement error impact, RF error influence shall also be considered in RAN4.</w:t>
      </w:r>
    </w:p>
    <w:p>
      <w:pPr>
        <w:pStyle w:val="2"/>
        <w:widowControl w:val="0"/>
        <w:numPr>
          <w:ilvl w:val="0"/>
          <w:numId w:val="4"/>
        </w:numPr>
        <w:pBdr>
          <w:top w:val="single" w:color="auto" w:sz="12" w:space="1"/>
        </w:pBdr>
        <w:tabs>
          <w:tab w:val="left" w:pos="284"/>
        </w:tabs>
        <w:adjustRightInd w:val="0"/>
        <w:snapToGrid w:val="0"/>
        <w:spacing w:before="480" w:beforeLines="150" w:after="160" w:afterLines="50" w:line="300" w:lineRule="auto"/>
        <w:jc w:val="both"/>
        <w:textAlignment w:val="baseline"/>
        <w:rPr>
          <w:rFonts w:eastAsia="宋体"/>
          <w:lang w:val="en-US" w:eastAsia="zh-CN"/>
        </w:rPr>
      </w:pPr>
      <w:r>
        <w:rPr>
          <w:rFonts w:hint="eastAsia" w:eastAsia="宋体"/>
          <w:lang w:val="en-US" w:eastAsia="zh-CN"/>
        </w:rPr>
        <w:t>Reference</w:t>
      </w:r>
    </w:p>
    <w:p>
      <w:pPr>
        <w:pStyle w:val="7"/>
        <w:numPr>
          <w:ilvl w:val="0"/>
          <w:numId w:val="21"/>
        </w:numPr>
        <w:ind w:firstLine="0"/>
        <w:rPr>
          <w:lang w:val="en-US"/>
        </w:rPr>
      </w:pPr>
      <w:bookmarkStart w:id="2" w:name="_Ref101451885"/>
      <w:r>
        <w:rPr>
          <w:rFonts w:hint="eastAsia"/>
          <w:lang w:val="en-US"/>
        </w:rPr>
        <w:t>RP-213599, “New SI: Study on Artificial Intelligence (AI)/Machine Learning (ML) for NR Air Interface”, 3GPP RAN Plenary</w:t>
      </w:r>
      <w:bookmarkEnd w:id="2"/>
    </w:p>
    <w:p>
      <w:pPr>
        <w:pStyle w:val="7"/>
        <w:numPr>
          <w:ilvl w:val="0"/>
          <w:numId w:val="21"/>
        </w:numPr>
        <w:ind w:left="0" w:leftChars="0" w:firstLine="0" w:firstLineChars="0"/>
        <w:rPr>
          <w:lang w:eastAsia="zh-CN"/>
        </w:rPr>
      </w:pPr>
      <w:r>
        <w:rPr>
          <w:rFonts w:hint="eastAsia"/>
          <w:lang w:val="en-US"/>
        </w:rPr>
        <w:t>R4-</w:t>
      </w:r>
      <w:r>
        <w:rPr>
          <w:rFonts w:hint="eastAsia"/>
          <w:lang w:val="en-US" w:eastAsia="zh-CN"/>
        </w:rPr>
        <w:t>2420513</w:t>
      </w:r>
      <w:r>
        <w:rPr>
          <w:rFonts w:hint="eastAsia"/>
          <w:lang w:val="en-US"/>
        </w:rPr>
        <w:t xml:space="preserve">, </w:t>
      </w:r>
      <w:r>
        <w:rPr>
          <w:lang w:val="en-US"/>
        </w:rPr>
        <w:t>“</w:t>
      </w:r>
      <w:r>
        <w:rPr>
          <w:rFonts w:hint="eastAsia"/>
          <w:lang w:val="en-US"/>
        </w:rPr>
        <w:t>WF on RAN4 requirements for NR AI/ML</w:t>
      </w:r>
      <w:r>
        <w:rPr>
          <w:lang w:val="en-US"/>
        </w:rPr>
        <w:t>”</w:t>
      </w:r>
      <w:r>
        <w:rPr>
          <w:rFonts w:hint="eastAsia"/>
          <w:lang w:val="en-US"/>
        </w:rPr>
        <w:t>, Qualcomm Incorporated</w:t>
      </w:r>
    </w:p>
    <w:p>
      <w:pPr>
        <w:pStyle w:val="7"/>
        <w:numPr>
          <w:ilvl w:val="0"/>
          <w:numId w:val="21"/>
        </w:numPr>
        <w:ind w:left="0" w:leftChars="0" w:firstLine="0" w:firstLineChars="0"/>
        <w:rPr>
          <w:lang w:eastAsia="zh-CN"/>
        </w:rPr>
      </w:pPr>
      <w:r>
        <w:rPr>
          <w:rFonts w:hint="eastAsia"/>
          <w:lang w:val="en-US"/>
        </w:rPr>
        <w:t>R4-</w:t>
      </w:r>
      <w:r>
        <w:rPr>
          <w:rFonts w:hint="eastAsia"/>
          <w:lang w:val="en-US" w:eastAsia="zh-CN"/>
        </w:rPr>
        <w:t>2417890</w:t>
      </w:r>
      <w:r>
        <w:rPr>
          <w:rFonts w:hint="eastAsia"/>
          <w:lang w:val="en-US"/>
        </w:rPr>
        <w:t xml:space="preserve">, </w:t>
      </w:r>
      <w:r>
        <w:rPr>
          <w:lang w:val="en-US"/>
        </w:rPr>
        <w:t>“</w:t>
      </w:r>
      <w:r>
        <w:rPr>
          <w:rFonts w:hint="eastAsia"/>
          <w:lang w:val="en-US" w:eastAsia="zh-CN"/>
        </w:rPr>
        <w:t>Discussion on core requirements of AI/ML BM use case</w:t>
      </w:r>
      <w:r>
        <w:rPr>
          <w:lang w:val="en-US"/>
        </w:rPr>
        <w:t>”</w:t>
      </w:r>
      <w:r>
        <w:rPr>
          <w:rFonts w:hint="eastAsia"/>
          <w:lang w:val="en-US"/>
        </w:rPr>
        <w:t xml:space="preserve">, </w:t>
      </w:r>
      <w:r>
        <w:rPr>
          <w:rFonts w:hint="eastAsia"/>
          <w:lang w:val="en-US" w:eastAsia="zh-CN"/>
        </w:rPr>
        <w:t>Media Tek Inc.</w:t>
      </w:r>
    </w:p>
    <w:p>
      <w:pPr>
        <w:pStyle w:val="7"/>
        <w:numPr>
          <w:ilvl w:val="0"/>
          <w:numId w:val="0"/>
        </w:numPr>
        <w:ind w:leftChars="0"/>
        <w:rPr>
          <w:lang w:eastAsia="zh-CN"/>
        </w:rPr>
      </w:pPr>
    </w:p>
    <w:sectPr>
      <w:footerReference r:id="rId3" w:type="default"/>
      <w:pgSz w:w="11906" w:h="16838"/>
      <w:pgMar w:top="1440" w:right="1304" w:bottom="1440" w:left="1304" w:header="851" w:footer="992" w:gutter="0"/>
      <w:cols w:space="0" w:num="1"/>
      <w:docGrid w:type="lines" w:linePitch="32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roman"/>
    <w:pitch w:val="default"/>
    <w:sig w:usb0="00000000" w:usb1="00000000" w:usb2="00000010" w:usb3="00000000" w:csb0="00020000" w:csb1="00000000"/>
  </w:font>
  <w:font w:name="Calibri Light">
    <w:panose1 w:val="020F03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Yu Mincho">
    <w:altName w:val="Yu Gothic UI"/>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游明朝">
    <w:altName w:val="Yu Gothic"/>
    <w:panose1 w:val="00000000000000000000"/>
    <w:charset w:val="80"/>
    <w:family w:val="roman"/>
    <w:pitch w:val="default"/>
    <w:sig w:usb0="00000000" w:usb1="00000000" w:usb2="00000012" w:usb3="00000000" w:csb0="0002009F"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eastAsia="宋体"/>
        <w:lang w:eastAsia="zh-CN"/>
      </w:rPr>
    </w:pPr>
    <w:r>
      <w:fldChar w:fldCharType="begin"/>
    </w:r>
    <w:r>
      <w:instrText xml:space="preserve">PAGE   \* MERGEFORMAT</w:instrText>
    </w:r>
    <w:r>
      <w:fldChar w:fldCharType="separate"/>
    </w:r>
    <w:r>
      <w:rPr>
        <w:lang w:eastAsia="zh-CN"/>
      </w:rPr>
      <w:t>10</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DDFE356A"/>
    <w:multiLevelType w:val="singleLevel"/>
    <w:tmpl w:val="DDFE356A"/>
    <w:lvl w:ilvl="0" w:tentative="0">
      <w:start w:val="1"/>
      <w:numFmt w:val="bullet"/>
      <w:lvlText w:val=""/>
      <w:lvlJc w:val="left"/>
      <w:pPr>
        <w:ind w:left="420" w:hanging="420"/>
      </w:pPr>
      <w:rPr>
        <w:rFonts w:hint="default" w:ascii="Wingdings" w:hAnsi="Wingdings"/>
      </w:rPr>
    </w:lvl>
  </w:abstractNum>
  <w:abstractNum w:abstractNumId="2">
    <w:nsid w:val="EF9A71FD"/>
    <w:multiLevelType w:val="singleLevel"/>
    <w:tmpl w:val="EF9A71FD"/>
    <w:lvl w:ilvl="0" w:tentative="0">
      <w:start w:val="1"/>
      <w:numFmt w:val="bullet"/>
      <w:lvlText w:val=""/>
      <w:lvlJc w:val="left"/>
      <w:pPr>
        <w:ind w:left="420" w:hanging="420"/>
      </w:pPr>
      <w:rPr>
        <w:rFonts w:hint="default" w:ascii="Wingdings" w:hAnsi="Wingdings"/>
      </w:rPr>
    </w:lvl>
  </w:abstractNum>
  <w:abstractNum w:abstractNumId="3">
    <w:nsid w:val="FEB9B7BF"/>
    <w:multiLevelType w:val="singleLevel"/>
    <w:tmpl w:val="FEB9B7BF"/>
    <w:lvl w:ilvl="0" w:tentative="0">
      <w:start w:val="1"/>
      <w:numFmt w:val="upperLetter"/>
      <w:suff w:val="space"/>
      <w:lvlText w:val="%1."/>
      <w:lvlJc w:val="left"/>
    </w:lvl>
  </w:abstractNum>
  <w:abstractNum w:abstractNumId="4">
    <w:nsid w:val="03DB07D4"/>
    <w:multiLevelType w:val="multilevel"/>
    <w:tmpl w:val="03DB07D4"/>
    <w:lvl w:ilvl="0" w:tentative="0">
      <w:start w:val="3"/>
      <w:numFmt w:val="bullet"/>
      <w:lvlText w:val="-"/>
      <w:lvlJc w:val="left"/>
      <w:pPr>
        <w:ind w:left="1200" w:hanging="360"/>
      </w:pPr>
      <w:rPr>
        <w:rFonts w:hint="default" w:ascii="Times New Roman" w:hAnsi="Times New Roman" w:eastAsia="Yu Mincho" w:cs="Times New Roman"/>
      </w:rPr>
    </w:lvl>
    <w:lvl w:ilvl="1" w:tentative="0">
      <w:start w:val="1"/>
      <w:numFmt w:val="bullet"/>
      <w:lvlText w:val=""/>
      <w:lvlJc w:val="left"/>
      <w:pPr>
        <w:ind w:left="1680" w:hanging="420"/>
      </w:pPr>
      <w:rPr>
        <w:rFonts w:hint="default" w:ascii="Wingdings" w:hAnsi="Wingdings"/>
        <w:strike w:val="0"/>
      </w:rPr>
    </w:lvl>
    <w:lvl w:ilvl="2" w:tentative="0">
      <w:start w:val="1"/>
      <w:numFmt w:val="bullet"/>
      <w:lvlText w:val=""/>
      <w:lvlJc w:val="left"/>
      <w:pPr>
        <w:ind w:left="2100" w:hanging="420"/>
      </w:pPr>
      <w:rPr>
        <w:rFonts w:hint="default" w:ascii="Wingdings" w:hAnsi="Wingdings"/>
      </w:rPr>
    </w:lvl>
    <w:lvl w:ilvl="3" w:tentative="0">
      <w:start w:val="1"/>
      <w:numFmt w:val="bullet"/>
      <w:lvlText w:val=""/>
      <w:lvlJc w:val="left"/>
      <w:pPr>
        <w:ind w:left="2520" w:hanging="420"/>
      </w:pPr>
      <w:rPr>
        <w:rFonts w:hint="default" w:ascii="Wingdings" w:hAnsi="Wingdings"/>
      </w:rPr>
    </w:lvl>
    <w:lvl w:ilvl="4" w:tentative="0">
      <w:start w:val="1"/>
      <w:numFmt w:val="bullet"/>
      <w:lvlText w:val=""/>
      <w:lvlJc w:val="left"/>
      <w:pPr>
        <w:ind w:left="2940" w:hanging="420"/>
      </w:pPr>
      <w:rPr>
        <w:rFonts w:hint="default" w:ascii="Wingdings" w:hAnsi="Wingdings"/>
      </w:rPr>
    </w:lvl>
    <w:lvl w:ilvl="5" w:tentative="0">
      <w:start w:val="1"/>
      <w:numFmt w:val="bullet"/>
      <w:lvlText w:val=""/>
      <w:lvlJc w:val="left"/>
      <w:pPr>
        <w:ind w:left="3360" w:hanging="420"/>
      </w:pPr>
      <w:rPr>
        <w:rFonts w:hint="default" w:ascii="Wingdings" w:hAnsi="Wingdings"/>
      </w:rPr>
    </w:lvl>
    <w:lvl w:ilvl="6" w:tentative="0">
      <w:start w:val="1"/>
      <w:numFmt w:val="bullet"/>
      <w:lvlText w:val=""/>
      <w:lvlJc w:val="left"/>
      <w:pPr>
        <w:ind w:left="3780" w:hanging="420"/>
      </w:pPr>
      <w:rPr>
        <w:rFonts w:hint="default" w:ascii="Wingdings" w:hAnsi="Wingdings"/>
      </w:rPr>
    </w:lvl>
    <w:lvl w:ilvl="7" w:tentative="0">
      <w:start w:val="1"/>
      <w:numFmt w:val="bullet"/>
      <w:lvlText w:val=""/>
      <w:lvlJc w:val="left"/>
      <w:pPr>
        <w:ind w:left="4200" w:hanging="420"/>
      </w:pPr>
      <w:rPr>
        <w:rFonts w:hint="default" w:ascii="Wingdings" w:hAnsi="Wingdings"/>
      </w:rPr>
    </w:lvl>
    <w:lvl w:ilvl="8" w:tentative="0">
      <w:start w:val="1"/>
      <w:numFmt w:val="bullet"/>
      <w:lvlText w:val=""/>
      <w:lvlJc w:val="left"/>
      <w:pPr>
        <w:ind w:left="4620" w:hanging="420"/>
      </w:pPr>
      <w:rPr>
        <w:rFonts w:hint="default" w:ascii="Wingdings" w:hAnsi="Wingdings"/>
      </w:rPr>
    </w:lvl>
  </w:abstractNum>
  <w:abstractNum w:abstractNumId="5">
    <w:nsid w:val="163D4526"/>
    <w:multiLevelType w:val="multilevel"/>
    <w:tmpl w:val="163D452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7">
    <w:nsid w:val="1D415E50"/>
    <w:multiLevelType w:val="singleLevel"/>
    <w:tmpl w:val="1D415E50"/>
    <w:lvl w:ilvl="0" w:tentative="0">
      <w:start w:val="1"/>
      <w:numFmt w:val="decimal"/>
      <w:lvlText w:val="%1."/>
      <w:lvlJc w:val="left"/>
      <w:pPr>
        <w:tabs>
          <w:tab w:val="left" w:pos="312"/>
        </w:tabs>
      </w:pPr>
    </w:lvl>
  </w:abstractNum>
  <w:abstractNum w:abstractNumId="8">
    <w:nsid w:val="2252836A"/>
    <w:multiLevelType w:val="singleLevel"/>
    <w:tmpl w:val="2252836A"/>
    <w:lvl w:ilvl="0" w:tentative="0">
      <w:start w:val="1"/>
      <w:numFmt w:val="bullet"/>
      <w:lvlText w:val=""/>
      <w:lvlJc w:val="left"/>
      <w:pPr>
        <w:ind w:left="420" w:hanging="420"/>
      </w:pPr>
      <w:rPr>
        <w:rFonts w:hint="default" w:ascii="Wingdings" w:hAnsi="Wingdings"/>
      </w:rPr>
    </w:lvl>
  </w:abstractNum>
  <w:abstractNum w:abstractNumId="9">
    <w:nsid w:val="322166B7"/>
    <w:multiLevelType w:val="multilevel"/>
    <w:tmpl w:val="322166B7"/>
    <w:lvl w:ilvl="0" w:tentative="0">
      <w:start w:val="1"/>
      <w:numFmt w:val="bullet"/>
      <w:lvlText w:val=""/>
      <w:lvlJc w:val="left"/>
      <w:pPr>
        <w:tabs>
          <w:tab w:val="left" w:pos="-420"/>
        </w:tabs>
        <w:ind w:left="0" w:hanging="420"/>
      </w:pPr>
      <w:rPr>
        <w:rFonts w:hint="default" w:ascii="Wingdings" w:hAnsi="Wingdings"/>
      </w:rPr>
    </w:lvl>
    <w:lvl w:ilvl="1" w:tentative="0">
      <w:start w:val="1"/>
      <w:numFmt w:val="bullet"/>
      <w:lvlText w:val=""/>
      <w:lvlJc w:val="left"/>
      <w:pPr>
        <w:tabs>
          <w:tab w:val="left" w:pos="-420"/>
        </w:tabs>
        <w:ind w:left="420" w:hanging="420"/>
      </w:pPr>
      <w:rPr>
        <w:rFonts w:hint="default" w:ascii="Wingdings" w:hAnsi="Wingdings"/>
      </w:rPr>
    </w:lvl>
    <w:lvl w:ilvl="2" w:tentative="0">
      <w:start w:val="1"/>
      <w:numFmt w:val="bullet"/>
      <w:lvlText w:val=""/>
      <w:lvlJc w:val="left"/>
      <w:pPr>
        <w:tabs>
          <w:tab w:val="left" w:pos="-420"/>
        </w:tabs>
        <w:ind w:left="840" w:hanging="420"/>
      </w:pPr>
      <w:rPr>
        <w:rFonts w:hint="default" w:ascii="Wingdings" w:hAnsi="Wingdings"/>
      </w:rPr>
    </w:lvl>
    <w:lvl w:ilvl="3" w:tentative="0">
      <w:start w:val="1"/>
      <w:numFmt w:val="bullet"/>
      <w:lvlText w:val=""/>
      <w:lvlJc w:val="left"/>
      <w:pPr>
        <w:tabs>
          <w:tab w:val="left" w:pos="-420"/>
        </w:tabs>
        <w:ind w:left="1260" w:hanging="420"/>
      </w:pPr>
      <w:rPr>
        <w:rFonts w:hint="default" w:ascii="Wingdings" w:hAnsi="Wingdings"/>
      </w:rPr>
    </w:lvl>
    <w:lvl w:ilvl="4" w:tentative="0">
      <w:start w:val="1"/>
      <w:numFmt w:val="bullet"/>
      <w:lvlText w:val=""/>
      <w:lvlJc w:val="left"/>
      <w:pPr>
        <w:tabs>
          <w:tab w:val="left" w:pos="-420"/>
        </w:tabs>
        <w:ind w:left="1680" w:hanging="420"/>
      </w:pPr>
      <w:rPr>
        <w:rFonts w:hint="default" w:ascii="Wingdings" w:hAnsi="Wingdings"/>
      </w:rPr>
    </w:lvl>
    <w:lvl w:ilvl="5" w:tentative="0">
      <w:start w:val="1"/>
      <w:numFmt w:val="bullet"/>
      <w:lvlText w:val=""/>
      <w:lvlJc w:val="left"/>
      <w:pPr>
        <w:tabs>
          <w:tab w:val="left" w:pos="-420"/>
        </w:tabs>
        <w:ind w:left="2100" w:hanging="420"/>
      </w:pPr>
      <w:rPr>
        <w:rFonts w:hint="default" w:ascii="Wingdings" w:hAnsi="Wingdings"/>
      </w:rPr>
    </w:lvl>
    <w:lvl w:ilvl="6" w:tentative="0">
      <w:start w:val="1"/>
      <w:numFmt w:val="bullet"/>
      <w:lvlText w:val=""/>
      <w:lvlJc w:val="left"/>
      <w:pPr>
        <w:tabs>
          <w:tab w:val="left" w:pos="-420"/>
        </w:tabs>
        <w:ind w:left="2520" w:hanging="420"/>
      </w:pPr>
      <w:rPr>
        <w:rFonts w:hint="default" w:ascii="Wingdings" w:hAnsi="Wingdings"/>
      </w:rPr>
    </w:lvl>
    <w:lvl w:ilvl="7" w:tentative="0">
      <w:start w:val="1"/>
      <w:numFmt w:val="bullet"/>
      <w:lvlText w:val=""/>
      <w:lvlJc w:val="left"/>
      <w:pPr>
        <w:tabs>
          <w:tab w:val="left" w:pos="-420"/>
        </w:tabs>
        <w:ind w:left="2940" w:hanging="420"/>
      </w:pPr>
      <w:rPr>
        <w:rFonts w:hint="default" w:ascii="Wingdings" w:hAnsi="Wingdings"/>
      </w:rPr>
    </w:lvl>
    <w:lvl w:ilvl="8" w:tentative="0">
      <w:start w:val="1"/>
      <w:numFmt w:val="bullet"/>
      <w:lvlText w:val=""/>
      <w:lvlJc w:val="left"/>
      <w:pPr>
        <w:tabs>
          <w:tab w:val="left" w:pos="-420"/>
        </w:tabs>
        <w:ind w:left="3360" w:hanging="420"/>
      </w:pPr>
      <w:rPr>
        <w:rFonts w:hint="default" w:ascii="Wingdings" w:hAnsi="Wingdings"/>
      </w:rPr>
    </w:lvl>
  </w:abstractNum>
  <w:abstractNum w:abstractNumId="10">
    <w:nsid w:val="3A0443FD"/>
    <w:multiLevelType w:val="singleLevel"/>
    <w:tmpl w:val="3A0443FD"/>
    <w:lvl w:ilvl="0" w:tentative="0">
      <w:start w:val="1"/>
      <w:numFmt w:val="bullet"/>
      <w:lvlText w:val=""/>
      <w:lvlJc w:val="left"/>
      <w:pPr>
        <w:ind w:left="420" w:hanging="420"/>
      </w:pPr>
      <w:rPr>
        <w:rFonts w:hint="default" w:ascii="Wingdings" w:hAnsi="Wingdings"/>
      </w:rPr>
    </w:lvl>
  </w:abstractNum>
  <w:abstractNum w:abstractNumId="11">
    <w:nsid w:val="4D6E3167"/>
    <w:multiLevelType w:val="multilevel"/>
    <w:tmpl w:val="4D6E3167"/>
    <w:lvl w:ilvl="0" w:tentative="0">
      <w:start w:val="1"/>
      <w:numFmt w:val="decimal"/>
      <w:pStyle w:val="4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2">
    <w:nsid w:val="4F000B23"/>
    <w:multiLevelType w:val="multilevel"/>
    <w:tmpl w:val="4F000B2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56646FE7"/>
    <w:multiLevelType w:val="multilevel"/>
    <w:tmpl w:val="56646FE7"/>
    <w:lvl w:ilvl="0" w:tentative="0">
      <w:start w:val="0"/>
      <w:numFmt w:val="bullet"/>
      <w:lvlText w:val="-"/>
      <w:lvlJc w:val="left"/>
      <w:pPr>
        <w:tabs>
          <w:tab w:val="left" w:pos="-420"/>
        </w:tabs>
        <w:ind w:left="300" w:hanging="360"/>
      </w:pPr>
      <w:rPr>
        <w:rFonts w:hint="default" w:ascii="Times New Roman" w:hAnsi="Times New Roman" w:eastAsia="Times New Roman"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1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5">
    <w:nsid w:val="5D4725DA"/>
    <w:multiLevelType w:val="multilevel"/>
    <w:tmpl w:val="5D4725D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67160101"/>
    <w:multiLevelType w:val="multilevel"/>
    <w:tmpl w:val="67160101"/>
    <w:lvl w:ilvl="0" w:tentative="0">
      <w:start w:val="1"/>
      <w:numFmt w:val="bullet"/>
      <w:lvlText w:val=""/>
      <w:lvlJc w:val="left"/>
      <w:pPr>
        <w:ind w:left="1520" w:hanging="440"/>
      </w:pPr>
      <w:rPr>
        <w:rFonts w:hint="default" w:ascii="Wingdings" w:hAnsi="Wingdings"/>
      </w:rPr>
    </w:lvl>
    <w:lvl w:ilvl="1" w:tentative="0">
      <w:start w:val="1"/>
      <w:numFmt w:val="bullet"/>
      <w:lvlText w:val=""/>
      <w:lvlJc w:val="left"/>
      <w:pPr>
        <w:ind w:left="1960" w:hanging="440"/>
      </w:pPr>
      <w:rPr>
        <w:rFonts w:hint="default" w:ascii="Wingdings" w:hAnsi="Wingdings"/>
      </w:rPr>
    </w:lvl>
    <w:lvl w:ilvl="2" w:tentative="0">
      <w:start w:val="1"/>
      <w:numFmt w:val="bullet"/>
      <w:lvlText w:val=""/>
      <w:lvlJc w:val="left"/>
      <w:pPr>
        <w:ind w:left="2400" w:hanging="440"/>
      </w:pPr>
      <w:rPr>
        <w:rFonts w:hint="default" w:ascii="Wingdings" w:hAnsi="Wingdings"/>
      </w:rPr>
    </w:lvl>
    <w:lvl w:ilvl="3" w:tentative="0">
      <w:start w:val="1"/>
      <w:numFmt w:val="bullet"/>
      <w:lvlText w:val=""/>
      <w:lvlJc w:val="left"/>
      <w:pPr>
        <w:ind w:left="2840" w:hanging="440"/>
      </w:pPr>
      <w:rPr>
        <w:rFonts w:hint="default" w:ascii="Wingdings" w:hAnsi="Wingdings"/>
      </w:rPr>
    </w:lvl>
    <w:lvl w:ilvl="4" w:tentative="0">
      <w:start w:val="1"/>
      <w:numFmt w:val="bullet"/>
      <w:lvlText w:val=""/>
      <w:lvlJc w:val="left"/>
      <w:pPr>
        <w:ind w:left="3280" w:hanging="440"/>
      </w:pPr>
      <w:rPr>
        <w:rFonts w:hint="default" w:ascii="Wingdings" w:hAnsi="Wingdings"/>
      </w:rPr>
    </w:lvl>
    <w:lvl w:ilvl="5" w:tentative="0">
      <w:start w:val="1"/>
      <w:numFmt w:val="bullet"/>
      <w:lvlText w:val=""/>
      <w:lvlJc w:val="left"/>
      <w:pPr>
        <w:ind w:left="3720" w:hanging="440"/>
      </w:pPr>
      <w:rPr>
        <w:rFonts w:hint="default" w:ascii="Wingdings" w:hAnsi="Wingdings"/>
      </w:rPr>
    </w:lvl>
    <w:lvl w:ilvl="6" w:tentative="0">
      <w:start w:val="1"/>
      <w:numFmt w:val="bullet"/>
      <w:lvlText w:val=""/>
      <w:lvlJc w:val="left"/>
      <w:pPr>
        <w:ind w:left="4160" w:hanging="440"/>
      </w:pPr>
      <w:rPr>
        <w:rFonts w:hint="default" w:ascii="Wingdings" w:hAnsi="Wingdings"/>
      </w:rPr>
    </w:lvl>
    <w:lvl w:ilvl="7" w:tentative="0">
      <w:start w:val="1"/>
      <w:numFmt w:val="bullet"/>
      <w:lvlText w:val=""/>
      <w:lvlJc w:val="left"/>
      <w:pPr>
        <w:ind w:left="4600" w:hanging="440"/>
      </w:pPr>
      <w:rPr>
        <w:rFonts w:hint="default" w:ascii="Wingdings" w:hAnsi="Wingdings"/>
      </w:rPr>
    </w:lvl>
    <w:lvl w:ilvl="8" w:tentative="0">
      <w:start w:val="1"/>
      <w:numFmt w:val="bullet"/>
      <w:lvlText w:val=""/>
      <w:lvlJc w:val="left"/>
      <w:pPr>
        <w:ind w:left="5040" w:hanging="440"/>
      </w:pPr>
      <w:rPr>
        <w:rFonts w:hint="default" w:ascii="Wingdings" w:hAnsi="Wingdings"/>
      </w:rPr>
    </w:lvl>
  </w:abstractNum>
  <w:abstractNum w:abstractNumId="17">
    <w:nsid w:val="6AEA6AA4"/>
    <w:multiLevelType w:val="multilevel"/>
    <w:tmpl w:val="6AEA6AA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8">
    <w:nsid w:val="6B5B4F67"/>
    <w:multiLevelType w:val="multilevel"/>
    <w:tmpl w:val="6B5B4F67"/>
    <w:lvl w:ilvl="0" w:tentative="0">
      <w:start w:val="1"/>
      <w:numFmt w:val="decimal"/>
      <w:pStyle w:val="7"/>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9">
    <w:nsid w:val="76031ED0"/>
    <w:multiLevelType w:val="singleLevel"/>
    <w:tmpl w:val="76031ED0"/>
    <w:lvl w:ilvl="0" w:tentative="0">
      <w:start w:val="1"/>
      <w:numFmt w:val="upperLetter"/>
      <w:suff w:val="space"/>
      <w:lvlText w:val="%1."/>
      <w:lvlJc w:val="left"/>
      <w:pPr>
        <w:ind w:left="420"/>
      </w:pPr>
    </w:lvl>
  </w:abstractNum>
  <w:abstractNum w:abstractNumId="20">
    <w:nsid w:val="7BC330F5"/>
    <w:multiLevelType w:val="multilevel"/>
    <w:tmpl w:val="7BC330F5"/>
    <w:lvl w:ilvl="0" w:tentative="0">
      <w:start w:val="1"/>
      <w:numFmt w:val="bullet"/>
      <w:pStyle w:val="6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8"/>
  </w:num>
  <w:num w:numId="2">
    <w:abstractNumId w:val="11"/>
  </w:num>
  <w:num w:numId="3">
    <w:abstractNumId w:val="20"/>
  </w:num>
  <w:num w:numId="4">
    <w:abstractNumId w:val="6"/>
  </w:num>
  <w:num w:numId="5">
    <w:abstractNumId w:val="13"/>
  </w:num>
  <w:num w:numId="6">
    <w:abstractNumId w:val="4"/>
  </w:num>
  <w:num w:numId="7">
    <w:abstractNumId w:val="9"/>
  </w:num>
  <w:num w:numId="8">
    <w:abstractNumId w:val="2"/>
  </w:num>
  <w:num w:numId="9">
    <w:abstractNumId w:val="1"/>
  </w:num>
  <w:num w:numId="10">
    <w:abstractNumId w:val="14"/>
  </w:num>
  <w:num w:numId="11">
    <w:abstractNumId w:val="12"/>
  </w:num>
  <w:num w:numId="12">
    <w:abstractNumId w:val="16"/>
  </w:num>
  <w:num w:numId="13">
    <w:abstractNumId w:val="5"/>
  </w:num>
  <w:num w:numId="14">
    <w:abstractNumId w:val="7"/>
  </w:num>
  <w:num w:numId="15">
    <w:abstractNumId w:val="3"/>
  </w:num>
  <w:num w:numId="16">
    <w:abstractNumId w:val="15"/>
  </w:num>
  <w:num w:numId="17">
    <w:abstractNumId w:val="19"/>
  </w:num>
  <w:num w:numId="18">
    <w:abstractNumId w:val="10"/>
  </w:num>
  <w:num w:numId="19">
    <w:abstractNumId w:val="17"/>
  </w:num>
  <w:num w:numId="20">
    <w:abstractNumId w:val="8"/>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6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0CA0"/>
    <w:rsid w:val="000046DC"/>
    <w:rsid w:val="00005BA8"/>
    <w:rsid w:val="00010038"/>
    <w:rsid w:val="000111B2"/>
    <w:rsid w:val="00011B9C"/>
    <w:rsid w:val="00011CD5"/>
    <w:rsid w:val="000127D9"/>
    <w:rsid w:val="000135A9"/>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1E5"/>
    <w:rsid w:val="00042D3B"/>
    <w:rsid w:val="00042D92"/>
    <w:rsid w:val="0004363A"/>
    <w:rsid w:val="000436DB"/>
    <w:rsid w:val="000438BE"/>
    <w:rsid w:val="00044849"/>
    <w:rsid w:val="00044AC1"/>
    <w:rsid w:val="00044FFD"/>
    <w:rsid w:val="0004585C"/>
    <w:rsid w:val="0004634B"/>
    <w:rsid w:val="00046A41"/>
    <w:rsid w:val="00046D4D"/>
    <w:rsid w:val="00047088"/>
    <w:rsid w:val="00047697"/>
    <w:rsid w:val="000537D7"/>
    <w:rsid w:val="000548A8"/>
    <w:rsid w:val="000559D1"/>
    <w:rsid w:val="00056808"/>
    <w:rsid w:val="00056A88"/>
    <w:rsid w:val="00057D33"/>
    <w:rsid w:val="00060AEC"/>
    <w:rsid w:val="000615EF"/>
    <w:rsid w:val="00061A99"/>
    <w:rsid w:val="00062052"/>
    <w:rsid w:val="0006394F"/>
    <w:rsid w:val="00064CD8"/>
    <w:rsid w:val="0006506D"/>
    <w:rsid w:val="00067656"/>
    <w:rsid w:val="00067FBE"/>
    <w:rsid w:val="000703C7"/>
    <w:rsid w:val="00073360"/>
    <w:rsid w:val="0007376E"/>
    <w:rsid w:val="00074017"/>
    <w:rsid w:val="000740E2"/>
    <w:rsid w:val="000749D1"/>
    <w:rsid w:val="00075328"/>
    <w:rsid w:val="000762C9"/>
    <w:rsid w:val="000762E7"/>
    <w:rsid w:val="0007704F"/>
    <w:rsid w:val="000773BF"/>
    <w:rsid w:val="000779ED"/>
    <w:rsid w:val="00083678"/>
    <w:rsid w:val="00083AB9"/>
    <w:rsid w:val="000840CB"/>
    <w:rsid w:val="00084CF0"/>
    <w:rsid w:val="000857E5"/>
    <w:rsid w:val="00085E6F"/>
    <w:rsid w:val="00086797"/>
    <w:rsid w:val="00087168"/>
    <w:rsid w:val="00090027"/>
    <w:rsid w:val="00090728"/>
    <w:rsid w:val="00090B27"/>
    <w:rsid w:val="00091C46"/>
    <w:rsid w:val="0009264E"/>
    <w:rsid w:val="00092752"/>
    <w:rsid w:val="00093DC8"/>
    <w:rsid w:val="00094AEF"/>
    <w:rsid w:val="00094E71"/>
    <w:rsid w:val="0009505F"/>
    <w:rsid w:val="00096E6A"/>
    <w:rsid w:val="000970B6"/>
    <w:rsid w:val="00097D24"/>
    <w:rsid w:val="000A1D13"/>
    <w:rsid w:val="000A4FD3"/>
    <w:rsid w:val="000A513A"/>
    <w:rsid w:val="000A71A8"/>
    <w:rsid w:val="000B0C67"/>
    <w:rsid w:val="000B11A8"/>
    <w:rsid w:val="000B1C0B"/>
    <w:rsid w:val="000B3BCC"/>
    <w:rsid w:val="000B4EA8"/>
    <w:rsid w:val="000B4F5B"/>
    <w:rsid w:val="000B674B"/>
    <w:rsid w:val="000B695A"/>
    <w:rsid w:val="000B6B78"/>
    <w:rsid w:val="000B7043"/>
    <w:rsid w:val="000B743D"/>
    <w:rsid w:val="000B7E43"/>
    <w:rsid w:val="000C002F"/>
    <w:rsid w:val="000C020C"/>
    <w:rsid w:val="000C0F31"/>
    <w:rsid w:val="000C44AD"/>
    <w:rsid w:val="000C4C75"/>
    <w:rsid w:val="000C689C"/>
    <w:rsid w:val="000C7138"/>
    <w:rsid w:val="000C7EE2"/>
    <w:rsid w:val="000D0676"/>
    <w:rsid w:val="000D0F51"/>
    <w:rsid w:val="000D1971"/>
    <w:rsid w:val="000D2C25"/>
    <w:rsid w:val="000D46CC"/>
    <w:rsid w:val="000D564A"/>
    <w:rsid w:val="000D5B1C"/>
    <w:rsid w:val="000D6633"/>
    <w:rsid w:val="000D6F7B"/>
    <w:rsid w:val="000D726A"/>
    <w:rsid w:val="000E08C1"/>
    <w:rsid w:val="000E16EE"/>
    <w:rsid w:val="000E2379"/>
    <w:rsid w:val="000E2607"/>
    <w:rsid w:val="000E26CF"/>
    <w:rsid w:val="000E3024"/>
    <w:rsid w:val="000E3FE7"/>
    <w:rsid w:val="000E5344"/>
    <w:rsid w:val="000E58B1"/>
    <w:rsid w:val="000E5966"/>
    <w:rsid w:val="000E5A5F"/>
    <w:rsid w:val="000E7146"/>
    <w:rsid w:val="000E7930"/>
    <w:rsid w:val="000F0421"/>
    <w:rsid w:val="000F0AB8"/>
    <w:rsid w:val="000F1DB8"/>
    <w:rsid w:val="000F28F4"/>
    <w:rsid w:val="000F299E"/>
    <w:rsid w:val="000F2F16"/>
    <w:rsid w:val="000F5F4A"/>
    <w:rsid w:val="000F61DC"/>
    <w:rsid w:val="000F72FE"/>
    <w:rsid w:val="000F7A0E"/>
    <w:rsid w:val="0010184F"/>
    <w:rsid w:val="001020F4"/>
    <w:rsid w:val="00102D64"/>
    <w:rsid w:val="00103244"/>
    <w:rsid w:val="00103631"/>
    <w:rsid w:val="00104F6F"/>
    <w:rsid w:val="00105D8E"/>
    <w:rsid w:val="00106725"/>
    <w:rsid w:val="00106EE0"/>
    <w:rsid w:val="00106FBA"/>
    <w:rsid w:val="00107679"/>
    <w:rsid w:val="0011193E"/>
    <w:rsid w:val="0011236B"/>
    <w:rsid w:val="00115609"/>
    <w:rsid w:val="001156FA"/>
    <w:rsid w:val="001171EE"/>
    <w:rsid w:val="00117456"/>
    <w:rsid w:val="00120946"/>
    <w:rsid w:val="001209BC"/>
    <w:rsid w:val="00120BEA"/>
    <w:rsid w:val="00121A71"/>
    <w:rsid w:val="00122127"/>
    <w:rsid w:val="00125055"/>
    <w:rsid w:val="00126423"/>
    <w:rsid w:val="00126FA3"/>
    <w:rsid w:val="00130E5C"/>
    <w:rsid w:val="00131CE6"/>
    <w:rsid w:val="00132C7B"/>
    <w:rsid w:val="00133830"/>
    <w:rsid w:val="00133B10"/>
    <w:rsid w:val="001340D8"/>
    <w:rsid w:val="00135B58"/>
    <w:rsid w:val="00136F27"/>
    <w:rsid w:val="00136F57"/>
    <w:rsid w:val="00137184"/>
    <w:rsid w:val="001371A0"/>
    <w:rsid w:val="0013726C"/>
    <w:rsid w:val="001418C6"/>
    <w:rsid w:val="0014199F"/>
    <w:rsid w:val="00141BC5"/>
    <w:rsid w:val="00142A02"/>
    <w:rsid w:val="001443AA"/>
    <w:rsid w:val="00145BA3"/>
    <w:rsid w:val="001462D2"/>
    <w:rsid w:val="001465F3"/>
    <w:rsid w:val="00146802"/>
    <w:rsid w:val="00146FBA"/>
    <w:rsid w:val="00150C6B"/>
    <w:rsid w:val="001525B5"/>
    <w:rsid w:val="00152DC9"/>
    <w:rsid w:val="00154228"/>
    <w:rsid w:val="00154903"/>
    <w:rsid w:val="001549BA"/>
    <w:rsid w:val="00155BB8"/>
    <w:rsid w:val="00156675"/>
    <w:rsid w:val="00157D19"/>
    <w:rsid w:val="00160B9B"/>
    <w:rsid w:val="00161213"/>
    <w:rsid w:val="0016194C"/>
    <w:rsid w:val="00162816"/>
    <w:rsid w:val="0016282F"/>
    <w:rsid w:val="00162E17"/>
    <w:rsid w:val="00163D81"/>
    <w:rsid w:val="00164052"/>
    <w:rsid w:val="00165D5C"/>
    <w:rsid w:val="00165E24"/>
    <w:rsid w:val="0016622B"/>
    <w:rsid w:val="0016694A"/>
    <w:rsid w:val="00170C58"/>
    <w:rsid w:val="0017147B"/>
    <w:rsid w:val="00171487"/>
    <w:rsid w:val="00172360"/>
    <w:rsid w:val="0017243C"/>
    <w:rsid w:val="00172914"/>
    <w:rsid w:val="00173DEB"/>
    <w:rsid w:val="001743A3"/>
    <w:rsid w:val="00174CB0"/>
    <w:rsid w:val="0017502E"/>
    <w:rsid w:val="00176025"/>
    <w:rsid w:val="00176207"/>
    <w:rsid w:val="00176FD1"/>
    <w:rsid w:val="00177636"/>
    <w:rsid w:val="0017773C"/>
    <w:rsid w:val="00182A0A"/>
    <w:rsid w:val="0018321C"/>
    <w:rsid w:val="0018376E"/>
    <w:rsid w:val="00183F7C"/>
    <w:rsid w:val="00184198"/>
    <w:rsid w:val="001853EC"/>
    <w:rsid w:val="0018582F"/>
    <w:rsid w:val="00185B3B"/>
    <w:rsid w:val="00187268"/>
    <w:rsid w:val="00187718"/>
    <w:rsid w:val="00187D13"/>
    <w:rsid w:val="0019032F"/>
    <w:rsid w:val="001908D0"/>
    <w:rsid w:val="00190BD2"/>
    <w:rsid w:val="00191C83"/>
    <w:rsid w:val="00191E88"/>
    <w:rsid w:val="0019200F"/>
    <w:rsid w:val="0019214A"/>
    <w:rsid w:val="00193B2E"/>
    <w:rsid w:val="001950D4"/>
    <w:rsid w:val="001956D7"/>
    <w:rsid w:val="00195AEC"/>
    <w:rsid w:val="00195F0C"/>
    <w:rsid w:val="001966B6"/>
    <w:rsid w:val="0019714F"/>
    <w:rsid w:val="001A00E2"/>
    <w:rsid w:val="001A0A84"/>
    <w:rsid w:val="001A212E"/>
    <w:rsid w:val="001A4E68"/>
    <w:rsid w:val="001A51A3"/>
    <w:rsid w:val="001A5E14"/>
    <w:rsid w:val="001A6393"/>
    <w:rsid w:val="001B0BD0"/>
    <w:rsid w:val="001B0CAE"/>
    <w:rsid w:val="001B1559"/>
    <w:rsid w:val="001B1CA3"/>
    <w:rsid w:val="001B1F1B"/>
    <w:rsid w:val="001B28AF"/>
    <w:rsid w:val="001B2DE4"/>
    <w:rsid w:val="001B38DC"/>
    <w:rsid w:val="001B7940"/>
    <w:rsid w:val="001B7E2E"/>
    <w:rsid w:val="001C0696"/>
    <w:rsid w:val="001C08C4"/>
    <w:rsid w:val="001C0B4B"/>
    <w:rsid w:val="001C1475"/>
    <w:rsid w:val="001C2C7A"/>
    <w:rsid w:val="001C5F61"/>
    <w:rsid w:val="001C64C9"/>
    <w:rsid w:val="001C71D5"/>
    <w:rsid w:val="001C7A38"/>
    <w:rsid w:val="001D1198"/>
    <w:rsid w:val="001D286E"/>
    <w:rsid w:val="001D298D"/>
    <w:rsid w:val="001D4761"/>
    <w:rsid w:val="001D49CD"/>
    <w:rsid w:val="001D4DC6"/>
    <w:rsid w:val="001D517A"/>
    <w:rsid w:val="001D557F"/>
    <w:rsid w:val="001D5CA6"/>
    <w:rsid w:val="001D5E3F"/>
    <w:rsid w:val="001E1408"/>
    <w:rsid w:val="001E1B09"/>
    <w:rsid w:val="001E261D"/>
    <w:rsid w:val="001E2E77"/>
    <w:rsid w:val="001E3700"/>
    <w:rsid w:val="001E4AAE"/>
    <w:rsid w:val="001E4CE3"/>
    <w:rsid w:val="001E4E10"/>
    <w:rsid w:val="001E527C"/>
    <w:rsid w:val="001E606D"/>
    <w:rsid w:val="001F0030"/>
    <w:rsid w:val="001F02DE"/>
    <w:rsid w:val="001F07D9"/>
    <w:rsid w:val="001F3E45"/>
    <w:rsid w:val="001F3F21"/>
    <w:rsid w:val="001F4E0E"/>
    <w:rsid w:val="001F523C"/>
    <w:rsid w:val="001F57F8"/>
    <w:rsid w:val="001F6E68"/>
    <w:rsid w:val="001F7301"/>
    <w:rsid w:val="002008E4"/>
    <w:rsid w:val="00200ED3"/>
    <w:rsid w:val="00200EEC"/>
    <w:rsid w:val="002035C0"/>
    <w:rsid w:val="002072FC"/>
    <w:rsid w:val="00207D59"/>
    <w:rsid w:val="0021100A"/>
    <w:rsid w:val="00212C43"/>
    <w:rsid w:val="002140DC"/>
    <w:rsid w:val="002145DD"/>
    <w:rsid w:val="0021660C"/>
    <w:rsid w:val="0021678E"/>
    <w:rsid w:val="00217554"/>
    <w:rsid w:val="0021768C"/>
    <w:rsid w:val="002178D3"/>
    <w:rsid w:val="002207BC"/>
    <w:rsid w:val="0022192B"/>
    <w:rsid w:val="00221D28"/>
    <w:rsid w:val="00223FEE"/>
    <w:rsid w:val="002257E3"/>
    <w:rsid w:val="00226879"/>
    <w:rsid w:val="00226A6A"/>
    <w:rsid w:val="00226C69"/>
    <w:rsid w:val="002275A9"/>
    <w:rsid w:val="00227FF2"/>
    <w:rsid w:val="0023070B"/>
    <w:rsid w:val="00231CDE"/>
    <w:rsid w:val="0023260C"/>
    <w:rsid w:val="00232B32"/>
    <w:rsid w:val="002339B7"/>
    <w:rsid w:val="002345D9"/>
    <w:rsid w:val="00234862"/>
    <w:rsid w:val="002350DB"/>
    <w:rsid w:val="0023622F"/>
    <w:rsid w:val="00237556"/>
    <w:rsid w:val="002377E6"/>
    <w:rsid w:val="002379B8"/>
    <w:rsid w:val="00237F14"/>
    <w:rsid w:val="00237FE0"/>
    <w:rsid w:val="002402BB"/>
    <w:rsid w:val="00240848"/>
    <w:rsid w:val="0024101B"/>
    <w:rsid w:val="002413E0"/>
    <w:rsid w:val="002423ED"/>
    <w:rsid w:val="00242603"/>
    <w:rsid w:val="00243FBF"/>
    <w:rsid w:val="0024432E"/>
    <w:rsid w:val="002447B7"/>
    <w:rsid w:val="00245CBD"/>
    <w:rsid w:val="00246EFE"/>
    <w:rsid w:val="00251050"/>
    <w:rsid w:val="00251101"/>
    <w:rsid w:val="00252555"/>
    <w:rsid w:val="002535F8"/>
    <w:rsid w:val="00253762"/>
    <w:rsid w:val="00253A58"/>
    <w:rsid w:val="00253CD4"/>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6F5"/>
    <w:rsid w:val="002757C5"/>
    <w:rsid w:val="002806E0"/>
    <w:rsid w:val="002809D0"/>
    <w:rsid w:val="0028232D"/>
    <w:rsid w:val="00283B9E"/>
    <w:rsid w:val="002841DD"/>
    <w:rsid w:val="00284A5F"/>
    <w:rsid w:val="002853D5"/>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49ED"/>
    <w:rsid w:val="002A7AD8"/>
    <w:rsid w:val="002B049A"/>
    <w:rsid w:val="002B0C44"/>
    <w:rsid w:val="002B1410"/>
    <w:rsid w:val="002B16FD"/>
    <w:rsid w:val="002B2139"/>
    <w:rsid w:val="002B23E0"/>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6A9"/>
    <w:rsid w:val="002C79A2"/>
    <w:rsid w:val="002D036C"/>
    <w:rsid w:val="002D136A"/>
    <w:rsid w:val="002D1873"/>
    <w:rsid w:val="002D3E32"/>
    <w:rsid w:val="002D6C8F"/>
    <w:rsid w:val="002D7474"/>
    <w:rsid w:val="002D7B4B"/>
    <w:rsid w:val="002D7BEF"/>
    <w:rsid w:val="002D7F55"/>
    <w:rsid w:val="002E09E6"/>
    <w:rsid w:val="002E09F2"/>
    <w:rsid w:val="002E14C2"/>
    <w:rsid w:val="002E1F27"/>
    <w:rsid w:val="002E1FC1"/>
    <w:rsid w:val="002E29A3"/>
    <w:rsid w:val="002E3363"/>
    <w:rsid w:val="002E351D"/>
    <w:rsid w:val="002E3ABA"/>
    <w:rsid w:val="002E46C4"/>
    <w:rsid w:val="002E5549"/>
    <w:rsid w:val="002E70D7"/>
    <w:rsid w:val="002F2473"/>
    <w:rsid w:val="002F2D43"/>
    <w:rsid w:val="002F2D71"/>
    <w:rsid w:val="002F4190"/>
    <w:rsid w:val="002F4660"/>
    <w:rsid w:val="002F62E2"/>
    <w:rsid w:val="002F644E"/>
    <w:rsid w:val="003001FD"/>
    <w:rsid w:val="003003CB"/>
    <w:rsid w:val="003005D5"/>
    <w:rsid w:val="00300A17"/>
    <w:rsid w:val="00301B7D"/>
    <w:rsid w:val="00302227"/>
    <w:rsid w:val="00302536"/>
    <w:rsid w:val="00302B27"/>
    <w:rsid w:val="00302B4D"/>
    <w:rsid w:val="00303A73"/>
    <w:rsid w:val="00304C6C"/>
    <w:rsid w:val="00305449"/>
    <w:rsid w:val="003054EA"/>
    <w:rsid w:val="003056DE"/>
    <w:rsid w:val="0031014E"/>
    <w:rsid w:val="0031131E"/>
    <w:rsid w:val="00311D66"/>
    <w:rsid w:val="003126CF"/>
    <w:rsid w:val="00312E78"/>
    <w:rsid w:val="00314FCA"/>
    <w:rsid w:val="0031535E"/>
    <w:rsid w:val="003161CA"/>
    <w:rsid w:val="00316D38"/>
    <w:rsid w:val="00316E61"/>
    <w:rsid w:val="00316F17"/>
    <w:rsid w:val="00316F37"/>
    <w:rsid w:val="0031747A"/>
    <w:rsid w:val="0031777F"/>
    <w:rsid w:val="00317B2E"/>
    <w:rsid w:val="003203D0"/>
    <w:rsid w:val="003212AC"/>
    <w:rsid w:val="0032139A"/>
    <w:rsid w:val="003215FB"/>
    <w:rsid w:val="00321733"/>
    <w:rsid w:val="00323A88"/>
    <w:rsid w:val="00323EC3"/>
    <w:rsid w:val="00324BC0"/>
    <w:rsid w:val="00326676"/>
    <w:rsid w:val="0032687C"/>
    <w:rsid w:val="003271DF"/>
    <w:rsid w:val="00331019"/>
    <w:rsid w:val="00331234"/>
    <w:rsid w:val="00334165"/>
    <w:rsid w:val="00334F4F"/>
    <w:rsid w:val="0033563F"/>
    <w:rsid w:val="003363FC"/>
    <w:rsid w:val="003366D8"/>
    <w:rsid w:val="00336CC3"/>
    <w:rsid w:val="0033749C"/>
    <w:rsid w:val="003414B9"/>
    <w:rsid w:val="00341AE0"/>
    <w:rsid w:val="00342420"/>
    <w:rsid w:val="0034386E"/>
    <w:rsid w:val="00344F34"/>
    <w:rsid w:val="0034590F"/>
    <w:rsid w:val="00345BCC"/>
    <w:rsid w:val="0034677A"/>
    <w:rsid w:val="00350EA6"/>
    <w:rsid w:val="00351800"/>
    <w:rsid w:val="00352BB4"/>
    <w:rsid w:val="00352FCD"/>
    <w:rsid w:val="003542B1"/>
    <w:rsid w:val="003561D6"/>
    <w:rsid w:val="00356B75"/>
    <w:rsid w:val="00357B0E"/>
    <w:rsid w:val="00360B4D"/>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68D"/>
    <w:rsid w:val="003917FF"/>
    <w:rsid w:val="00392386"/>
    <w:rsid w:val="00393556"/>
    <w:rsid w:val="00395621"/>
    <w:rsid w:val="003959C1"/>
    <w:rsid w:val="003963CC"/>
    <w:rsid w:val="00396C1B"/>
    <w:rsid w:val="003973AF"/>
    <w:rsid w:val="003A080F"/>
    <w:rsid w:val="003A0894"/>
    <w:rsid w:val="003A1AC4"/>
    <w:rsid w:val="003A41C6"/>
    <w:rsid w:val="003A435A"/>
    <w:rsid w:val="003A502C"/>
    <w:rsid w:val="003A6037"/>
    <w:rsid w:val="003A60CC"/>
    <w:rsid w:val="003A6693"/>
    <w:rsid w:val="003A7B06"/>
    <w:rsid w:val="003B0AB3"/>
    <w:rsid w:val="003B23BE"/>
    <w:rsid w:val="003B3539"/>
    <w:rsid w:val="003B3F52"/>
    <w:rsid w:val="003B41BD"/>
    <w:rsid w:val="003B46D3"/>
    <w:rsid w:val="003B4B28"/>
    <w:rsid w:val="003B4CF9"/>
    <w:rsid w:val="003B5978"/>
    <w:rsid w:val="003B6529"/>
    <w:rsid w:val="003C06D9"/>
    <w:rsid w:val="003C277B"/>
    <w:rsid w:val="003C4403"/>
    <w:rsid w:val="003C4F17"/>
    <w:rsid w:val="003C50F9"/>
    <w:rsid w:val="003C6281"/>
    <w:rsid w:val="003D084E"/>
    <w:rsid w:val="003D0A3A"/>
    <w:rsid w:val="003D138F"/>
    <w:rsid w:val="003D15C0"/>
    <w:rsid w:val="003D17CC"/>
    <w:rsid w:val="003D4C11"/>
    <w:rsid w:val="003D717B"/>
    <w:rsid w:val="003D7851"/>
    <w:rsid w:val="003E0C1C"/>
    <w:rsid w:val="003E1E13"/>
    <w:rsid w:val="003E2770"/>
    <w:rsid w:val="003E361E"/>
    <w:rsid w:val="003E3662"/>
    <w:rsid w:val="003E38F0"/>
    <w:rsid w:val="003E40A2"/>
    <w:rsid w:val="003F1589"/>
    <w:rsid w:val="003F20B3"/>
    <w:rsid w:val="003F3670"/>
    <w:rsid w:val="003F3BD9"/>
    <w:rsid w:val="003F4253"/>
    <w:rsid w:val="003F7452"/>
    <w:rsid w:val="00400CFF"/>
    <w:rsid w:val="004018EB"/>
    <w:rsid w:val="00401B4C"/>
    <w:rsid w:val="004025D6"/>
    <w:rsid w:val="004038D3"/>
    <w:rsid w:val="004043BD"/>
    <w:rsid w:val="00404A2B"/>
    <w:rsid w:val="00404C71"/>
    <w:rsid w:val="004059CC"/>
    <w:rsid w:val="0040612C"/>
    <w:rsid w:val="004100DF"/>
    <w:rsid w:val="004107B1"/>
    <w:rsid w:val="00411A7B"/>
    <w:rsid w:val="004135D9"/>
    <w:rsid w:val="0041407A"/>
    <w:rsid w:val="00414612"/>
    <w:rsid w:val="0041590C"/>
    <w:rsid w:val="00415FFE"/>
    <w:rsid w:val="00416A93"/>
    <w:rsid w:val="00416ED9"/>
    <w:rsid w:val="00420952"/>
    <w:rsid w:val="00421462"/>
    <w:rsid w:val="0042264E"/>
    <w:rsid w:val="00422FA0"/>
    <w:rsid w:val="00423580"/>
    <w:rsid w:val="00423EFD"/>
    <w:rsid w:val="00424155"/>
    <w:rsid w:val="0042598D"/>
    <w:rsid w:val="00425E4B"/>
    <w:rsid w:val="00426189"/>
    <w:rsid w:val="0042657D"/>
    <w:rsid w:val="00426B8D"/>
    <w:rsid w:val="004305B8"/>
    <w:rsid w:val="004316B6"/>
    <w:rsid w:val="00431C1D"/>
    <w:rsid w:val="004324F0"/>
    <w:rsid w:val="0043389B"/>
    <w:rsid w:val="00434C4B"/>
    <w:rsid w:val="0043717E"/>
    <w:rsid w:val="00442AF8"/>
    <w:rsid w:val="00443505"/>
    <w:rsid w:val="00443E6C"/>
    <w:rsid w:val="00443EF6"/>
    <w:rsid w:val="004443DF"/>
    <w:rsid w:val="00444550"/>
    <w:rsid w:val="004451FB"/>
    <w:rsid w:val="00446F2A"/>
    <w:rsid w:val="00447E58"/>
    <w:rsid w:val="00451375"/>
    <w:rsid w:val="004517F8"/>
    <w:rsid w:val="00452A9E"/>
    <w:rsid w:val="00454D97"/>
    <w:rsid w:val="00455554"/>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8BA"/>
    <w:rsid w:val="00471D57"/>
    <w:rsid w:val="00471E13"/>
    <w:rsid w:val="0047202B"/>
    <w:rsid w:val="00473FDC"/>
    <w:rsid w:val="00474095"/>
    <w:rsid w:val="00476393"/>
    <w:rsid w:val="00480754"/>
    <w:rsid w:val="00481726"/>
    <w:rsid w:val="00481F7A"/>
    <w:rsid w:val="004826EE"/>
    <w:rsid w:val="00483A9A"/>
    <w:rsid w:val="00487F45"/>
    <w:rsid w:val="004901E2"/>
    <w:rsid w:val="004907AC"/>
    <w:rsid w:val="0049251D"/>
    <w:rsid w:val="00492A69"/>
    <w:rsid w:val="00493A30"/>
    <w:rsid w:val="00493AA2"/>
    <w:rsid w:val="0049561A"/>
    <w:rsid w:val="00497026"/>
    <w:rsid w:val="0049728E"/>
    <w:rsid w:val="004A0C9A"/>
    <w:rsid w:val="004A1174"/>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8C6"/>
    <w:rsid w:val="004C5B13"/>
    <w:rsid w:val="004C649B"/>
    <w:rsid w:val="004C79CB"/>
    <w:rsid w:val="004D14D8"/>
    <w:rsid w:val="004D2689"/>
    <w:rsid w:val="004D27A5"/>
    <w:rsid w:val="004D30B4"/>
    <w:rsid w:val="004D31B4"/>
    <w:rsid w:val="004D338D"/>
    <w:rsid w:val="004D3B28"/>
    <w:rsid w:val="004D4F3B"/>
    <w:rsid w:val="004D5053"/>
    <w:rsid w:val="004D5271"/>
    <w:rsid w:val="004D5B7A"/>
    <w:rsid w:val="004D68AF"/>
    <w:rsid w:val="004D7161"/>
    <w:rsid w:val="004D7A33"/>
    <w:rsid w:val="004D7EB8"/>
    <w:rsid w:val="004E2625"/>
    <w:rsid w:val="004E2EBA"/>
    <w:rsid w:val="004E3108"/>
    <w:rsid w:val="004E4058"/>
    <w:rsid w:val="004E4ED5"/>
    <w:rsid w:val="004E52F0"/>
    <w:rsid w:val="004E5E68"/>
    <w:rsid w:val="004E7F45"/>
    <w:rsid w:val="004F10C9"/>
    <w:rsid w:val="004F1419"/>
    <w:rsid w:val="004F2177"/>
    <w:rsid w:val="004F297D"/>
    <w:rsid w:val="004F358F"/>
    <w:rsid w:val="004F366C"/>
    <w:rsid w:val="004F54CF"/>
    <w:rsid w:val="0050028C"/>
    <w:rsid w:val="00501809"/>
    <w:rsid w:val="005020EF"/>
    <w:rsid w:val="00503445"/>
    <w:rsid w:val="00503458"/>
    <w:rsid w:val="00503AED"/>
    <w:rsid w:val="005045C9"/>
    <w:rsid w:val="00504876"/>
    <w:rsid w:val="00505437"/>
    <w:rsid w:val="00505794"/>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24C"/>
    <w:rsid w:val="00533CC6"/>
    <w:rsid w:val="005342DE"/>
    <w:rsid w:val="005342EA"/>
    <w:rsid w:val="005343D9"/>
    <w:rsid w:val="005348E8"/>
    <w:rsid w:val="005370DC"/>
    <w:rsid w:val="00537718"/>
    <w:rsid w:val="005379F5"/>
    <w:rsid w:val="00540112"/>
    <w:rsid w:val="00540B6B"/>
    <w:rsid w:val="0054139A"/>
    <w:rsid w:val="00543148"/>
    <w:rsid w:val="005432DB"/>
    <w:rsid w:val="005439A1"/>
    <w:rsid w:val="00544C53"/>
    <w:rsid w:val="005450FE"/>
    <w:rsid w:val="0054599C"/>
    <w:rsid w:val="00545DF4"/>
    <w:rsid w:val="005463A5"/>
    <w:rsid w:val="00547135"/>
    <w:rsid w:val="00547EF2"/>
    <w:rsid w:val="005536BF"/>
    <w:rsid w:val="00553BA5"/>
    <w:rsid w:val="00553D1B"/>
    <w:rsid w:val="0055473A"/>
    <w:rsid w:val="0055480B"/>
    <w:rsid w:val="00555262"/>
    <w:rsid w:val="00556A4A"/>
    <w:rsid w:val="00556ADF"/>
    <w:rsid w:val="005571E0"/>
    <w:rsid w:val="00560EA4"/>
    <w:rsid w:val="005628BA"/>
    <w:rsid w:val="0056388D"/>
    <w:rsid w:val="00563AB7"/>
    <w:rsid w:val="00566B59"/>
    <w:rsid w:val="00566F37"/>
    <w:rsid w:val="005679CE"/>
    <w:rsid w:val="0057024B"/>
    <w:rsid w:val="005714F1"/>
    <w:rsid w:val="00572123"/>
    <w:rsid w:val="00573FF9"/>
    <w:rsid w:val="00574D0D"/>
    <w:rsid w:val="00575177"/>
    <w:rsid w:val="00576404"/>
    <w:rsid w:val="005775DE"/>
    <w:rsid w:val="00580DFD"/>
    <w:rsid w:val="00581BF8"/>
    <w:rsid w:val="00581EF8"/>
    <w:rsid w:val="0058276D"/>
    <w:rsid w:val="005835F5"/>
    <w:rsid w:val="00584748"/>
    <w:rsid w:val="00584BB6"/>
    <w:rsid w:val="00584D0F"/>
    <w:rsid w:val="00585ECE"/>
    <w:rsid w:val="00586233"/>
    <w:rsid w:val="00586406"/>
    <w:rsid w:val="00587275"/>
    <w:rsid w:val="005907E4"/>
    <w:rsid w:val="00592893"/>
    <w:rsid w:val="00593C9E"/>
    <w:rsid w:val="00594935"/>
    <w:rsid w:val="005956E9"/>
    <w:rsid w:val="00597615"/>
    <w:rsid w:val="005A1F63"/>
    <w:rsid w:val="005A2047"/>
    <w:rsid w:val="005A2117"/>
    <w:rsid w:val="005A389B"/>
    <w:rsid w:val="005A5368"/>
    <w:rsid w:val="005A7DC4"/>
    <w:rsid w:val="005B0C19"/>
    <w:rsid w:val="005B1634"/>
    <w:rsid w:val="005B2E93"/>
    <w:rsid w:val="005B394A"/>
    <w:rsid w:val="005B6616"/>
    <w:rsid w:val="005B6FBE"/>
    <w:rsid w:val="005B7507"/>
    <w:rsid w:val="005B7EFB"/>
    <w:rsid w:val="005C178E"/>
    <w:rsid w:val="005C1EAF"/>
    <w:rsid w:val="005C2A3C"/>
    <w:rsid w:val="005C33BC"/>
    <w:rsid w:val="005C4F83"/>
    <w:rsid w:val="005C578C"/>
    <w:rsid w:val="005C6933"/>
    <w:rsid w:val="005C7F09"/>
    <w:rsid w:val="005C7F24"/>
    <w:rsid w:val="005D0804"/>
    <w:rsid w:val="005D1616"/>
    <w:rsid w:val="005D44CF"/>
    <w:rsid w:val="005D4E8E"/>
    <w:rsid w:val="005D5022"/>
    <w:rsid w:val="005D50E3"/>
    <w:rsid w:val="005D5687"/>
    <w:rsid w:val="005D5923"/>
    <w:rsid w:val="005D5F35"/>
    <w:rsid w:val="005D66FD"/>
    <w:rsid w:val="005E16B5"/>
    <w:rsid w:val="005E199B"/>
    <w:rsid w:val="005E221C"/>
    <w:rsid w:val="005E23B1"/>
    <w:rsid w:val="005E34A5"/>
    <w:rsid w:val="005E35DE"/>
    <w:rsid w:val="005E48E9"/>
    <w:rsid w:val="005E68F0"/>
    <w:rsid w:val="005E7ED2"/>
    <w:rsid w:val="005F04BC"/>
    <w:rsid w:val="005F0614"/>
    <w:rsid w:val="005F0A45"/>
    <w:rsid w:val="005F0B5B"/>
    <w:rsid w:val="005F0B80"/>
    <w:rsid w:val="005F312A"/>
    <w:rsid w:val="005F4AEF"/>
    <w:rsid w:val="005F5F2E"/>
    <w:rsid w:val="005F7B36"/>
    <w:rsid w:val="00600491"/>
    <w:rsid w:val="006011DA"/>
    <w:rsid w:val="006020AE"/>
    <w:rsid w:val="00602E09"/>
    <w:rsid w:val="00604028"/>
    <w:rsid w:val="0060525F"/>
    <w:rsid w:val="00605F60"/>
    <w:rsid w:val="00606621"/>
    <w:rsid w:val="00606804"/>
    <w:rsid w:val="00607BFF"/>
    <w:rsid w:val="00607EC3"/>
    <w:rsid w:val="00610D6E"/>
    <w:rsid w:val="006111E8"/>
    <w:rsid w:val="00611ECB"/>
    <w:rsid w:val="006123A8"/>
    <w:rsid w:val="0061265B"/>
    <w:rsid w:val="00613369"/>
    <w:rsid w:val="006134A0"/>
    <w:rsid w:val="00614B74"/>
    <w:rsid w:val="00615436"/>
    <w:rsid w:val="00616C77"/>
    <w:rsid w:val="00616D01"/>
    <w:rsid w:val="00617C58"/>
    <w:rsid w:val="0062049F"/>
    <w:rsid w:val="0062206E"/>
    <w:rsid w:val="00623A12"/>
    <w:rsid w:val="00624A40"/>
    <w:rsid w:val="00625865"/>
    <w:rsid w:val="00627678"/>
    <w:rsid w:val="0063035A"/>
    <w:rsid w:val="0063189F"/>
    <w:rsid w:val="00632832"/>
    <w:rsid w:val="00633146"/>
    <w:rsid w:val="00635726"/>
    <w:rsid w:val="0064060A"/>
    <w:rsid w:val="00641FC7"/>
    <w:rsid w:val="00642AD3"/>
    <w:rsid w:val="00643717"/>
    <w:rsid w:val="00643FD6"/>
    <w:rsid w:val="006469C8"/>
    <w:rsid w:val="00647385"/>
    <w:rsid w:val="00652168"/>
    <w:rsid w:val="006529A4"/>
    <w:rsid w:val="00652DD7"/>
    <w:rsid w:val="00652FAD"/>
    <w:rsid w:val="006534A5"/>
    <w:rsid w:val="00653825"/>
    <w:rsid w:val="006548B4"/>
    <w:rsid w:val="006557B0"/>
    <w:rsid w:val="00656486"/>
    <w:rsid w:val="006565AD"/>
    <w:rsid w:val="006577AD"/>
    <w:rsid w:val="00657B6F"/>
    <w:rsid w:val="006608E6"/>
    <w:rsid w:val="00662030"/>
    <w:rsid w:val="00662F45"/>
    <w:rsid w:val="00663BF1"/>
    <w:rsid w:val="00663F84"/>
    <w:rsid w:val="00664975"/>
    <w:rsid w:val="00664A71"/>
    <w:rsid w:val="006662F6"/>
    <w:rsid w:val="0066658D"/>
    <w:rsid w:val="006666E6"/>
    <w:rsid w:val="006667F5"/>
    <w:rsid w:val="0066689D"/>
    <w:rsid w:val="006674D4"/>
    <w:rsid w:val="00667E6D"/>
    <w:rsid w:val="00670B13"/>
    <w:rsid w:val="006712D4"/>
    <w:rsid w:val="00672573"/>
    <w:rsid w:val="0067279F"/>
    <w:rsid w:val="0067284E"/>
    <w:rsid w:val="00672DD2"/>
    <w:rsid w:val="00673E40"/>
    <w:rsid w:val="00674016"/>
    <w:rsid w:val="006747D6"/>
    <w:rsid w:val="00674BBF"/>
    <w:rsid w:val="006764BE"/>
    <w:rsid w:val="00676D81"/>
    <w:rsid w:val="00680981"/>
    <w:rsid w:val="00680BCF"/>
    <w:rsid w:val="006817D6"/>
    <w:rsid w:val="00681E14"/>
    <w:rsid w:val="00681F92"/>
    <w:rsid w:val="006827E3"/>
    <w:rsid w:val="00685A36"/>
    <w:rsid w:val="006872E1"/>
    <w:rsid w:val="006913AD"/>
    <w:rsid w:val="00691581"/>
    <w:rsid w:val="006921D7"/>
    <w:rsid w:val="006930A7"/>
    <w:rsid w:val="006932AA"/>
    <w:rsid w:val="006934BC"/>
    <w:rsid w:val="0069395A"/>
    <w:rsid w:val="00694360"/>
    <w:rsid w:val="006957D5"/>
    <w:rsid w:val="00695A13"/>
    <w:rsid w:val="00696F92"/>
    <w:rsid w:val="006977EC"/>
    <w:rsid w:val="006A1452"/>
    <w:rsid w:val="006A1A56"/>
    <w:rsid w:val="006A2011"/>
    <w:rsid w:val="006A4061"/>
    <w:rsid w:val="006B0227"/>
    <w:rsid w:val="006B24B7"/>
    <w:rsid w:val="006B37C7"/>
    <w:rsid w:val="006B42DD"/>
    <w:rsid w:val="006B5D5F"/>
    <w:rsid w:val="006B6012"/>
    <w:rsid w:val="006B7437"/>
    <w:rsid w:val="006C0A6C"/>
    <w:rsid w:val="006C0CD7"/>
    <w:rsid w:val="006C3052"/>
    <w:rsid w:val="006C4AB1"/>
    <w:rsid w:val="006C4BC5"/>
    <w:rsid w:val="006C4EEA"/>
    <w:rsid w:val="006C54C4"/>
    <w:rsid w:val="006C6D2C"/>
    <w:rsid w:val="006C79E8"/>
    <w:rsid w:val="006D0575"/>
    <w:rsid w:val="006D0827"/>
    <w:rsid w:val="006D0F11"/>
    <w:rsid w:val="006D1487"/>
    <w:rsid w:val="006D1531"/>
    <w:rsid w:val="006D2077"/>
    <w:rsid w:val="006D2737"/>
    <w:rsid w:val="006D317E"/>
    <w:rsid w:val="006D349F"/>
    <w:rsid w:val="006D3F3B"/>
    <w:rsid w:val="006D556B"/>
    <w:rsid w:val="006D6701"/>
    <w:rsid w:val="006D6CA5"/>
    <w:rsid w:val="006D6D27"/>
    <w:rsid w:val="006D70E5"/>
    <w:rsid w:val="006D7C45"/>
    <w:rsid w:val="006D7D1E"/>
    <w:rsid w:val="006E060C"/>
    <w:rsid w:val="006E0780"/>
    <w:rsid w:val="006E0A32"/>
    <w:rsid w:val="006E1FB4"/>
    <w:rsid w:val="006E3CD7"/>
    <w:rsid w:val="006E52A0"/>
    <w:rsid w:val="006F0472"/>
    <w:rsid w:val="006F0D43"/>
    <w:rsid w:val="006F0FCC"/>
    <w:rsid w:val="006F1662"/>
    <w:rsid w:val="006F16F1"/>
    <w:rsid w:val="006F17F3"/>
    <w:rsid w:val="006F2829"/>
    <w:rsid w:val="006F2832"/>
    <w:rsid w:val="006F287B"/>
    <w:rsid w:val="006F305E"/>
    <w:rsid w:val="006F32B9"/>
    <w:rsid w:val="006F3A3C"/>
    <w:rsid w:val="006F6764"/>
    <w:rsid w:val="006F7C9D"/>
    <w:rsid w:val="00700808"/>
    <w:rsid w:val="00702864"/>
    <w:rsid w:val="007043BD"/>
    <w:rsid w:val="007046C6"/>
    <w:rsid w:val="0070470B"/>
    <w:rsid w:val="00704CB0"/>
    <w:rsid w:val="00705B20"/>
    <w:rsid w:val="00705D19"/>
    <w:rsid w:val="00705ED7"/>
    <w:rsid w:val="00707604"/>
    <w:rsid w:val="007078BB"/>
    <w:rsid w:val="00707AEF"/>
    <w:rsid w:val="007111CB"/>
    <w:rsid w:val="007111E9"/>
    <w:rsid w:val="007113C0"/>
    <w:rsid w:val="00712370"/>
    <w:rsid w:val="00713F3F"/>
    <w:rsid w:val="00714B99"/>
    <w:rsid w:val="00716468"/>
    <w:rsid w:val="00716774"/>
    <w:rsid w:val="00721352"/>
    <w:rsid w:val="00722136"/>
    <w:rsid w:val="00722CE4"/>
    <w:rsid w:val="00723129"/>
    <w:rsid w:val="007260B5"/>
    <w:rsid w:val="007275B0"/>
    <w:rsid w:val="007316F7"/>
    <w:rsid w:val="00732CAD"/>
    <w:rsid w:val="00734F49"/>
    <w:rsid w:val="00735783"/>
    <w:rsid w:val="00735AC1"/>
    <w:rsid w:val="00736DD6"/>
    <w:rsid w:val="00736E5B"/>
    <w:rsid w:val="00737BD2"/>
    <w:rsid w:val="00740025"/>
    <w:rsid w:val="00740DE4"/>
    <w:rsid w:val="00741E4E"/>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EEE"/>
    <w:rsid w:val="00762F4F"/>
    <w:rsid w:val="00762F67"/>
    <w:rsid w:val="007630F4"/>
    <w:rsid w:val="00763801"/>
    <w:rsid w:val="0076426F"/>
    <w:rsid w:val="007646E9"/>
    <w:rsid w:val="00764A7C"/>
    <w:rsid w:val="00764EDC"/>
    <w:rsid w:val="0076594C"/>
    <w:rsid w:val="007661D9"/>
    <w:rsid w:val="007667DE"/>
    <w:rsid w:val="00766B2A"/>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390"/>
    <w:rsid w:val="0078178A"/>
    <w:rsid w:val="00783080"/>
    <w:rsid w:val="007831A8"/>
    <w:rsid w:val="00783580"/>
    <w:rsid w:val="00784111"/>
    <w:rsid w:val="007847A0"/>
    <w:rsid w:val="00784AAE"/>
    <w:rsid w:val="00785662"/>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87"/>
    <w:rsid w:val="007B56B2"/>
    <w:rsid w:val="007B5930"/>
    <w:rsid w:val="007B5B3E"/>
    <w:rsid w:val="007B64CB"/>
    <w:rsid w:val="007B730E"/>
    <w:rsid w:val="007C0190"/>
    <w:rsid w:val="007C04AF"/>
    <w:rsid w:val="007C1196"/>
    <w:rsid w:val="007C1257"/>
    <w:rsid w:val="007C2548"/>
    <w:rsid w:val="007C4115"/>
    <w:rsid w:val="007C5135"/>
    <w:rsid w:val="007C614D"/>
    <w:rsid w:val="007C6601"/>
    <w:rsid w:val="007D3259"/>
    <w:rsid w:val="007D5E3C"/>
    <w:rsid w:val="007D66D9"/>
    <w:rsid w:val="007D703D"/>
    <w:rsid w:val="007E00BC"/>
    <w:rsid w:val="007E1228"/>
    <w:rsid w:val="007E13BE"/>
    <w:rsid w:val="007E1A7C"/>
    <w:rsid w:val="007E25BB"/>
    <w:rsid w:val="007E30DD"/>
    <w:rsid w:val="007E45E4"/>
    <w:rsid w:val="007E47C7"/>
    <w:rsid w:val="007E599C"/>
    <w:rsid w:val="007E7106"/>
    <w:rsid w:val="007F1080"/>
    <w:rsid w:val="007F1665"/>
    <w:rsid w:val="007F40B0"/>
    <w:rsid w:val="007F4348"/>
    <w:rsid w:val="007F4BB2"/>
    <w:rsid w:val="007F7294"/>
    <w:rsid w:val="007F77B7"/>
    <w:rsid w:val="007F79D8"/>
    <w:rsid w:val="007F7B22"/>
    <w:rsid w:val="00800CB4"/>
    <w:rsid w:val="00801E7F"/>
    <w:rsid w:val="0080204A"/>
    <w:rsid w:val="00803CB7"/>
    <w:rsid w:val="00805342"/>
    <w:rsid w:val="0080631A"/>
    <w:rsid w:val="008064BB"/>
    <w:rsid w:val="00807945"/>
    <w:rsid w:val="0081000C"/>
    <w:rsid w:val="00810783"/>
    <w:rsid w:val="00810CD4"/>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17836"/>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37D06"/>
    <w:rsid w:val="00840FE1"/>
    <w:rsid w:val="008411F3"/>
    <w:rsid w:val="00841B6C"/>
    <w:rsid w:val="0084288B"/>
    <w:rsid w:val="00843880"/>
    <w:rsid w:val="008456C6"/>
    <w:rsid w:val="008458EE"/>
    <w:rsid w:val="0084592D"/>
    <w:rsid w:val="00845F70"/>
    <w:rsid w:val="00846B5F"/>
    <w:rsid w:val="008470B4"/>
    <w:rsid w:val="00850A8E"/>
    <w:rsid w:val="0085207F"/>
    <w:rsid w:val="008523AF"/>
    <w:rsid w:val="00852C2E"/>
    <w:rsid w:val="00855AAE"/>
    <w:rsid w:val="00855C49"/>
    <w:rsid w:val="00855F1C"/>
    <w:rsid w:val="00856ACE"/>
    <w:rsid w:val="00856D75"/>
    <w:rsid w:val="00860082"/>
    <w:rsid w:val="0086016E"/>
    <w:rsid w:val="0086112C"/>
    <w:rsid w:val="008615B1"/>
    <w:rsid w:val="008626EE"/>
    <w:rsid w:val="00862D6B"/>
    <w:rsid w:val="00863782"/>
    <w:rsid w:val="00863885"/>
    <w:rsid w:val="008641B6"/>
    <w:rsid w:val="00864FF8"/>
    <w:rsid w:val="0086523B"/>
    <w:rsid w:val="00865853"/>
    <w:rsid w:val="0086611B"/>
    <w:rsid w:val="00867764"/>
    <w:rsid w:val="00867768"/>
    <w:rsid w:val="00867E03"/>
    <w:rsid w:val="0087072A"/>
    <w:rsid w:val="008707F8"/>
    <w:rsid w:val="008709DE"/>
    <w:rsid w:val="0087168C"/>
    <w:rsid w:val="00871C50"/>
    <w:rsid w:val="0087266C"/>
    <w:rsid w:val="0087411A"/>
    <w:rsid w:val="00874168"/>
    <w:rsid w:val="00876526"/>
    <w:rsid w:val="008778A3"/>
    <w:rsid w:val="0088027F"/>
    <w:rsid w:val="00880405"/>
    <w:rsid w:val="00880676"/>
    <w:rsid w:val="00880C62"/>
    <w:rsid w:val="008824CF"/>
    <w:rsid w:val="008826CD"/>
    <w:rsid w:val="00882AEA"/>
    <w:rsid w:val="00883419"/>
    <w:rsid w:val="00883AF2"/>
    <w:rsid w:val="00884441"/>
    <w:rsid w:val="00884F85"/>
    <w:rsid w:val="00885061"/>
    <w:rsid w:val="00885662"/>
    <w:rsid w:val="0088628F"/>
    <w:rsid w:val="00890F41"/>
    <w:rsid w:val="0089395D"/>
    <w:rsid w:val="00893B29"/>
    <w:rsid w:val="008943D1"/>
    <w:rsid w:val="00894E6B"/>
    <w:rsid w:val="00894FBA"/>
    <w:rsid w:val="00895334"/>
    <w:rsid w:val="0089671D"/>
    <w:rsid w:val="0089675A"/>
    <w:rsid w:val="00896CDF"/>
    <w:rsid w:val="008972BD"/>
    <w:rsid w:val="00897B83"/>
    <w:rsid w:val="00897CBD"/>
    <w:rsid w:val="008A0764"/>
    <w:rsid w:val="008A0CC1"/>
    <w:rsid w:val="008A10DB"/>
    <w:rsid w:val="008A1AAB"/>
    <w:rsid w:val="008A1AD8"/>
    <w:rsid w:val="008A373F"/>
    <w:rsid w:val="008A49BF"/>
    <w:rsid w:val="008A5BFE"/>
    <w:rsid w:val="008A5FEB"/>
    <w:rsid w:val="008A627D"/>
    <w:rsid w:val="008A6BBC"/>
    <w:rsid w:val="008A7714"/>
    <w:rsid w:val="008A7750"/>
    <w:rsid w:val="008B22DB"/>
    <w:rsid w:val="008B27F4"/>
    <w:rsid w:val="008B3BF5"/>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66C"/>
    <w:rsid w:val="008D2D4F"/>
    <w:rsid w:val="008D2F8C"/>
    <w:rsid w:val="008D45E7"/>
    <w:rsid w:val="008D6EC3"/>
    <w:rsid w:val="008D74E3"/>
    <w:rsid w:val="008E07F4"/>
    <w:rsid w:val="008E0B59"/>
    <w:rsid w:val="008E18F1"/>
    <w:rsid w:val="008E1AA7"/>
    <w:rsid w:val="008E406B"/>
    <w:rsid w:val="008E491E"/>
    <w:rsid w:val="008E4AC4"/>
    <w:rsid w:val="008E62A8"/>
    <w:rsid w:val="008E70F1"/>
    <w:rsid w:val="008F255F"/>
    <w:rsid w:val="008F3F01"/>
    <w:rsid w:val="008F441D"/>
    <w:rsid w:val="008F4609"/>
    <w:rsid w:val="008F467B"/>
    <w:rsid w:val="008F46C0"/>
    <w:rsid w:val="008F6306"/>
    <w:rsid w:val="008F6850"/>
    <w:rsid w:val="008F73CD"/>
    <w:rsid w:val="008F7A89"/>
    <w:rsid w:val="00900E3F"/>
    <w:rsid w:val="00900F0D"/>
    <w:rsid w:val="0090107F"/>
    <w:rsid w:val="00901334"/>
    <w:rsid w:val="00901A84"/>
    <w:rsid w:val="00902362"/>
    <w:rsid w:val="00902EB3"/>
    <w:rsid w:val="00903A5E"/>
    <w:rsid w:val="009047B7"/>
    <w:rsid w:val="00905046"/>
    <w:rsid w:val="00905183"/>
    <w:rsid w:val="00906071"/>
    <w:rsid w:val="009062EF"/>
    <w:rsid w:val="00906802"/>
    <w:rsid w:val="0091044F"/>
    <w:rsid w:val="00911217"/>
    <w:rsid w:val="009123CD"/>
    <w:rsid w:val="00912414"/>
    <w:rsid w:val="00913D49"/>
    <w:rsid w:val="00914224"/>
    <w:rsid w:val="00914689"/>
    <w:rsid w:val="00914B10"/>
    <w:rsid w:val="009152A6"/>
    <w:rsid w:val="00915471"/>
    <w:rsid w:val="00915940"/>
    <w:rsid w:val="0091629B"/>
    <w:rsid w:val="0091710A"/>
    <w:rsid w:val="00917795"/>
    <w:rsid w:val="009206C9"/>
    <w:rsid w:val="00920D01"/>
    <w:rsid w:val="00920E56"/>
    <w:rsid w:val="00921C3F"/>
    <w:rsid w:val="00923306"/>
    <w:rsid w:val="00923721"/>
    <w:rsid w:val="0092428C"/>
    <w:rsid w:val="00924370"/>
    <w:rsid w:val="00924A4E"/>
    <w:rsid w:val="00925A0A"/>
    <w:rsid w:val="00926E82"/>
    <w:rsid w:val="009300B3"/>
    <w:rsid w:val="00930ADA"/>
    <w:rsid w:val="00930D45"/>
    <w:rsid w:val="00930E90"/>
    <w:rsid w:val="00931D60"/>
    <w:rsid w:val="009332A5"/>
    <w:rsid w:val="00935382"/>
    <w:rsid w:val="00936AD6"/>
    <w:rsid w:val="00936BE7"/>
    <w:rsid w:val="00937729"/>
    <w:rsid w:val="00937F0A"/>
    <w:rsid w:val="00937F18"/>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56F4E"/>
    <w:rsid w:val="00960687"/>
    <w:rsid w:val="00960BC0"/>
    <w:rsid w:val="00961873"/>
    <w:rsid w:val="009633DE"/>
    <w:rsid w:val="0096427D"/>
    <w:rsid w:val="0096492C"/>
    <w:rsid w:val="00965008"/>
    <w:rsid w:val="00965763"/>
    <w:rsid w:val="00965F20"/>
    <w:rsid w:val="0097040F"/>
    <w:rsid w:val="009709D1"/>
    <w:rsid w:val="00970AAB"/>
    <w:rsid w:val="0097101E"/>
    <w:rsid w:val="009710A0"/>
    <w:rsid w:val="00971396"/>
    <w:rsid w:val="00971DE9"/>
    <w:rsid w:val="00973D39"/>
    <w:rsid w:val="009750BD"/>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00F7"/>
    <w:rsid w:val="0099188B"/>
    <w:rsid w:val="00991C61"/>
    <w:rsid w:val="00992530"/>
    <w:rsid w:val="009937B7"/>
    <w:rsid w:val="00993D31"/>
    <w:rsid w:val="009946F0"/>
    <w:rsid w:val="0099616D"/>
    <w:rsid w:val="00996A2A"/>
    <w:rsid w:val="00997505"/>
    <w:rsid w:val="009976EE"/>
    <w:rsid w:val="00997CC8"/>
    <w:rsid w:val="009A03E1"/>
    <w:rsid w:val="009A0E20"/>
    <w:rsid w:val="009A1102"/>
    <w:rsid w:val="009A164B"/>
    <w:rsid w:val="009A1C38"/>
    <w:rsid w:val="009A2370"/>
    <w:rsid w:val="009A2850"/>
    <w:rsid w:val="009A2AB8"/>
    <w:rsid w:val="009A2CE5"/>
    <w:rsid w:val="009A452A"/>
    <w:rsid w:val="009A73C1"/>
    <w:rsid w:val="009A7731"/>
    <w:rsid w:val="009B0648"/>
    <w:rsid w:val="009B0ADA"/>
    <w:rsid w:val="009B2298"/>
    <w:rsid w:val="009B2891"/>
    <w:rsid w:val="009B28B2"/>
    <w:rsid w:val="009B4649"/>
    <w:rsid w:val="009B56A3"/>
    <w:rsid w:val="009B5705"/>
    <w:rsid w:val="009B736B"/>
    <w:rsid w:val="009B75A1"/>
    <w:rsid w:val="009B7CA5"/>
    <w:rsid w:val="009C00D7"/>
    <w:rsid w:val="009C0ACA"/>
    <w:rsid w:val="009C0C6A"/>
    <w:rsid w:val="009C0CBB"/>
    <w:rsid w:val="009C10B5"/>
    <w:rsid w:val="009C1B48"/>
    <w:rsid w:val="009C320E"/>
    <w:rsid w:val="009C4418"/>
    <w:rsid w:val="009C45D9"/>
    <w:rsid w:val="009C6CEA"/>
    <w:rsid w:val="009C7D71"/>
    <w:rsid w:val="009D0D72"/>
    <w:rsid w:val="009D1154"/>
    <w:rsid w:val="009D3BD5"/>
    <w:rsid w:val="009D3F31"/>
    <w:rsid w:val="009D485D"/>
    <w:rsid w:val="009D6036"/>
    <w:rsid w:val="009D6D01"/>
    <w:rsid w:val="009D7BF2"/>
    <w:rsid w:val="009E03C9"/>
    <w:rsid w:val="009E0BF9"/>
    <w:rsid w:val="009E181D"/>
    <w:rsid w:val="009E1EC8"/>
    <w:rsid w:val="009E2AC0"/>
    <w:rsid w:val="009E313F"/>
    <w:rsid w:val="009E3543"/>
    <w:rsid w:val="009E3D62"/>
    <w:rsid w:val="009E61DF"/>
    <w:rsid w:val="009E6348"/>
    <w:rsid w:val="009E6457"/>
    <w:rsid w:val="009F0576"/>
    <w:rsid w:val="009F0673"/>
    <w:rsid w:val="009F15DB"/>
    <w:rsid w:val="009F1E20"/>
    <w:rsid w:val="009F1FCC"/>
    <w:rsid w:val="009F4464"/>
    <w:rsid w:val="009F5625"/>
    <w:rsid w:val="009F5C37"/>
    <w:rsid w:val="009F6667"/>
    <w:rsid w:val="00A00C56"/>
    <w:rsid w:val="00A00E35"/>
    <w:rsid w:val="00A01A8C"/>
    <w:rsid w:val="00A01CB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0ED3"/>
    <w:rsid w:val="00A21296"/>
    <w:rsid w:val="00A2182A"/>
    <w:rsid w:val="00A23B5A"/>
    <w:rsid w:val="00A259B1"/>
    <w:rsid w:val="00A26B68"/>
    <w:rsid w:val="00A26EBC"/>
    <w:rsid w:val="00A30021"/>
    <w:rsid w:val="00A30166"/>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3D25"/>
    <w:rsid w:val="00A55E5B"/>
    <w:rsid w:val="00A5665B"/>
    <w:rsid w:val="00A57163"/>
    <w:rsid w:val="00A57AED"/>
    <w:rsid w:val="00A57F82"/>
    <w:rsid w:val="00A604A1"/>
    <w:rsid w:val="00A607ED"/>
    <w:rsid w:val="00A61423"/>
    <w:rsid w:val="00A62BE2"/>
    <w:rsid w:val="00A635C4"/>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0AC0"/>
    <w:rsid w:val="00A83056"/>
    <w:rsid w:val="00A8321F"/>
    <w:rsid w:val="00A836C5"/>
    <w:rsid w:val="00A852BE"/>
    <w:rsid w:val="00A87B21"/>
    <w:rsid w:val="00A92C47"/>
    <w:rsid w:val="00A95604"/>
    <w:rsid w:val="00A96C9C"/>
    <w:rsid w:val="00A96CD5"/>
    <w:rsid w:val="00A974A3"/>
    <w:rsid w:val="00A9762B"/>
    <w:rsid w:val="00A97C5A"/>
    <w:rsid w:val="00A97CD1"/>
    <w:rsid w:val="00AA0DB2"/>
    <w:rsid w:val="00AA10AD"/>
    <w:rsid w:val="00AA10EA"/>
    <w:rsid w:val="00AA3856"/>
    <w:rsid w:val="00AA46F8"/>
    <w:rsid w:val="00AA4708"/>
    <w:rsid w:val="00AA5247"/>
    <w:rsid w:val="00AA5C59"/>
    <w:rsid w:val="00AA5D8A"/>
    <w:rsid w:val="00AA6492"/>
    <w:rsid w:val="00AA6E4B"/>
    <w:rsid w:val="00AA7A29"/>
    <w:rsid w:val="00AB03CF"/>
    <w:rsid w:val="00AB0888"/>
    <w:rsid w:val="00AB09A3"/>
    <w:rsid w:val="00AB1879"/>
    <w:rsid w:val="00AB27AA"/>
    <w:rsid w:val="00AB2F44"/>
    <w:rsid w:val="00AB3231"/>
    <w:rsid w:val="00AB3B4B"/>
    <w:rsid w:val="00AB3DEC"/>
    <w:rsid w:val="00AB47BE"/>
    <w:rsid w:val="00AB5F76"/>
    <w:rsid w:val="00AB5FE9"/>
    <w:rsid w:val="00AB60E3"/>
    <w:rsid w:val="00AC0B27"/>
    <w:rsid w:val="00AC2743"/>
    <w:rsid w:val="00AC2B29"/>
    <w:rsid w:val="00AC2E42"/>
    <w:rsid w:val="00AC418A"/>
    <w:rsid w:val="00AC49CA"/>
    <w:rsid w:val="00AC4AA2"/>
    <w:rsid w:val="00AC5084"/>
    <w:rsid w:val="00AC54FD"/>
    <w:rsid w:val="00AC6205"/>
    <w:rsid w:val="00AC6E64"/>
    <w:rsid w:val="00AC6F0C"/>
    <w:rsid w:val="00AC7222"/>
    <w:rsid w:val="00AD0001"/>
    <w:rsid w:val="00AD3F7B"/>
    <w:rsid w:val="00AD405C"/>
    <w:rsid w:val="00AD5163"/>
    <w:rsid w:val="00AD523D"/>
    <w:rsid w:val="00AD55F7"/>
    <w:rsid w:val="00AD5703"/>
    <w:rsid w:val="00AD5BA2"/>
    <w:rsid w:val="00AD5F1E"/>
    <w:rsid w:val="00AD60A8"/>
    <w:rsid w:val="00AD614D"/>
    <w:rsid w:val="00AD67E0"/>
    <w:rsid w:val="00AD77FF"/>
    <w:rsid w:val="00AD7A79"/>
    <w:rsid w:val="00AD7EB6"/>
    <w:rsid w:val="00AE138F"/>
    <w:rsid w:val="00AE47BB"/>
    <w:rsid w:val="00AE4BA5"/>
    <w:rsid w:val="00AE62AE"/>
    <w:rsid w:val="00AF13B8"/>
    <w:rsid w:val="00AF1735"/>
    <w:rsid w:val="00AF271C"/>
    <w:rsid w:val="00AF3BAC"/>
    <w:rsid w:val="00AF4AF9"/>
    <w:rsid w:val="00AF4B12"/>
    <w:rsid w:val="00AF5E39"/>
    <w:rsid w:val="00AF6EC8"/>
    <w:rsid w:val="00AF7EAE"/>
    <w:rsid w:val="00B00A49"/>
    <w:rsid w:val="00B04B21"/>
    <w:rsid w:val="00B051E1"/>
    <w:rsid w:val="00B0681A"/>
    <w:rsid w:val="00B0695B"/>
    <w:rsid w:val="00B075B8"/>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27A3F"/>
    <w:rsid w:val="00B31524"/>
    <w:rsid w:val="00B3327A"/>
    <w:rsid w:val="00B3369A"/>
    <w:rsid w:val="00B340F2"/>
    <w:rsid w:val="00B3472C"/>
    <w:rsid w:val="00B35592"/>
    <w:rsid w:val="00B35DF2"/>
    <w:rsid w:val="00B36A38"/>
    <w:rsid w:val="00B371E0"/>
    <w:rsid w:val="00B37B5E"/>
    <w:rsid w:val="00B37DE4"/>
    <w:rsid w:val="00B4058D"/>
    <w:rsid w:val="00B40972"/>
    <w:rsid w:val="00B43498"/>
    <w:rsid w:val="00B43919"/>
    <w:rsid w:val="00B440FF"/>
    <w:rsid w:val="00B445F4"/>
    <w:rsid w:val="00B45199"/>
    <w:rsid w:val="00B46BCB"/>
    <w:rsid w:val="00B47188"/>
    <w:rsid w:val="00B473BE"/>
    <w:rsid w:val="00B47CDA"/>
    <w:rsid w:val="00B508DD"/>
    <w:rsid w:val="00B50B39"/>
    <w:rsid w:val="00B5305C"/>
    <w:rsid w:val="00B53556"/>
    <w:rsid w:val="00B544CF"/>
    <w:rsid w:val="00B55E7E"/>
    <w:rsid w:val="00B560E5"/>
    <w:rsid w:val="00B56942"/>
    <w:rsid w:val="00B60DCD"/>
    <w:rsid w:val="00B6146E"/>
    <w:rsid w:val="00B6148D"/>
    <w:rsid w:val="00B61D7A"/>
    <w:rsid w:val="00B62B6F"/>
    <w:rsid w:val="00B641BA"/>
    <w:rsid w:val="00B64D45"/>
    <w:rsid w:val="00B650DB"/>
    <w:rsid w:val="00B65778"/>
    <w:rsid w:val="00B66141"/>
    <w:rsid w:val="00B66EB7"/>
    <w:rsid w:val="00B67064"/>
    <w:rsid w:val="00B71F7B"/>
    <w:rsid w:val="00B72085"/>
    <w:rsid w:val="00B721AE"/>
    <w:rsid w:val="00B73B2F"/>
    <w:rsid w:val="00B76F3D"/>
    <w:rsid w:val="00B77351"/>
    <w:rsid w:val="00B80987"/>
    <w:rsid w:val="00B816DD"/>
    <w:rsid w:val="00B8176A"/>
    <w:rsid w:val="00B8194F"/>
    <w:rsid w:val="00B81EB2"/>
    <w:rsid w:val="00B825AB"/>
    <w:rsid w:val="00B831B1"/>
    <w:rsid w:val="00B83ADD"/>
    <w:rsid w:val="00B83DD8"/>
    <w:rsid w:val="00B84149"/>
    <w:rsid w:val="00B8433E"/>
    <w:rsid w:val="00B85297"/>
    <w:rsid w:val="00B86E5E"/>
    <w:rsid w:val="00B90DB8"/>
    <w:rsid w:val="00B914DD"/>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256"/>
    <w:rsid w:val="00BB2B2B"/>
    <w:rsid w:val="00BB2ECB"/>
    <w:rsid w:val="00BB4031"/>
    <w:rsid w:val="00BB53E0"/>
    <w:rsid w:val="00BB59C6"/>
    <w:rsid w:val="00BC0F7E"/>
    <w:rsid w:val="00BC36BD"/>
    <w:rsid w:val="00BC38AA"/>
    <w:rsid w:val="00BC5FF9"/>
    <w:rsid w:val="00BC6A99"/>
    <w:rsid w:val="00BC7056"/>
    <w:rsid w:val="00BC74C3"/>
    <w:rsid w:val="00BC7A4C"/>
    <w:rsid w:val="00BC7B22"/>
    <w:rsid w:val="00BD0600"/>
    <w:rsid w:val="00BD1297"/>
    <w:rsid w:val="00BD4215"/>
    <w:rsid w:val="00BD4473"/>
    <w:rsid w:val="00BD4D5C"/>
    <w:rsid w:val="00BD52FB"/>
    <w:rsid w:val="00BD62C7"/>
    <w:rsid w:val="00BD670D"/>
    <w:rsid w:val="00BE1182"/>
    <w:rsid w:val="00BE210E"/>
    <w:rsid w:val="00BE3564"/>
    <w:rsid w:val="00BE5D19"/>
    <w:rsid w:val="00BE5E0B"/>
    <w:rsid w:val="00BE6CD1"/>
    <w:rsid w:val="00BE7E62"/>
    <w:rsid w:val="00BF0B6C"/>
    <w:rsid w:val="00BF1746"/>
    <w:rsid w:val="00BF1C1B"/>
    <w:rsid w:val="00BF1DE8"/>
    <w:rsid w:val="00BF253D"/>
    <w:rsid w:val="00BF2D02"/>
    <w:rsid w:val="00BF48CE"/>
    <w:rsid w:val="00BF5118"/>
    <w:rsid w:val="00BF6FE3"/>
    <w:rsid w:val="00BF72EF"/>
    <w:rsid w:val="00BF7572"/>
    <w:rsid w:val="00BF76BE"/>
    <w:rsid w:val="00C02D44"/>
    <w:rsid w:val="00C03BE9"/>
    <w:rsid w:val="00C040BB"/>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17A17"/>
    <w:rsid w:val="00C2034D"/>
    <w:rsid w:val="00C21FCE"/>
    <w:rsid w:val="00C23416"/>
    <w:rsid w:val="00C248C4"/>
    <w:rsid w:val="00C25090"/>
    <w:rsid w:val="00C250FB"/>
    <w:rsid w:val="00C263F7"/>
    <w:rsid w:val="00C26EF3"/>
    <w:rsid w:val="00C31885"/>
    <w:rsid w:val="00C31E56"/>
    <w:rsid w:val="00C331CB"/>
    <w:rsid w:val="00C341FD"/>
    <w:rsid w:val="00C36A9E"/>
    <w:rsid w:val="00C36AD4"/>
    <w:rsid w:val="00C4347B"/>
    <w:rsid w:val="00C43E3F"/>
    <w:rsid w:val="00C44337"/>
    <w:rsid w:val="00C443CC"/>
    <w:rsid w:val="00C444FE"/>
    <w:rsid w:val="00C44FC6"/>
    <w:rsid w:val="00C45BA8"/>
    <w:rsid w:val="00C469EC"/>
    <w:rsid w:val="00C46CD8"/>
    <w:rsid w:val="00C473E0"/>
    <w:rsid w:val="00C47BBA"/>
    <w:rsid w:val="00C5089B"/>
    <w:rsid w:val="00C50E3A"/>
    <w:rsid w:val="00C5146D"/>
    <w:rsid w:val="00C51499"/>
    <w:rsid w:val="00C542A0"/>
    <w:rsid w:val="00C54C73"/>
    <w:rsid w:val="00C550CB"/>
    <w:rsid w:val="00C57D89"/>
    <w:rsid w:val="00C60227"/>
    <w:rsid w:val="00C61A40"/>
    <w:rsid w:val="00C63599"/>
    <w:rsid w:val="00C638F8"/>
    <w:rsid w:val="00C63FA8"/>
    <w:rsid w:val="00C641B1"/>
    <w:rsid w:val="00C64707"/>
    <w:rsid w:val="00C64DA3"/>
    <w:rsid w:val="00C65227"/>
    <w:rsid w:val="00C6663F"/>
    <w:rsid w:val="00C666AF"/>
    <w:rsid w:val="00C673AB"/>
    <w:rsid w:val="00C67A5C"/>
    <w:rsid w:val="00C705F8"/>
    <w:rsid w:val="00C70AE9"/>
    <w:rsid w:val="00C71946"/>
    <w:rsid w:val="00C7208F"/>
    <w:rsid w:val="00C72C03"/>
    <w:rsid w:val="00C733B8"/>
    <w:rsid w:val="00C75270"/>
    <w:rsid w:val="00C75852"/>
    <w:rsid w:val="00C767CF"/>
    <w:rsid w:val="00C771FD"/>
    <w:rsid w:val="00C808D7"/>
    <w:rsid w:val="00C80A26"/>
    <w:rsid w:val="00C816ED"/>
    <w:rsid w:val="00C82EB0"/>
    <w:rsid w:val="00C836BB"/>
    <w:rsid w:val="00C83E16"/>
    <w:rsid w:val="00C844CF"/>
    <w:rsid w:val="00C84AE2"/>
    <w:rsid w:val="00C84D99"/>
    <w:rsid w:val="00C850C6"/>
    <w:rsid w:val="00C85202"/>
    <w:rsid w:val="00C85F63"/>
    <w:rsid w:val="00C8784F"/>
    <w:rsid w:val="00C9018E"/>
    <w:rsid w:val="00C90FF6"/>
    <w:rsid w:val="00C9151C"/>
    <w:rsid w:val="00C91661"/>
    <w:rsid w:val="00C924CA"/>
    <w:rsid w:val="00C950F2"/>
    <w:rsid w:val="00C9572D"/>
    <w:rsid w:val="00CA0594"/>
    <w:rsid w:val="00CA16DC"/>
    <w:rsid w:val="00CA1F76"/>
    <w:rsid w:val="00CA268C"/>
    <w:rsid w:val="00CA2A37"/>
    <w:rsid w:val="00CA2A75"/>
    <w:rsid w:val="00CA4621"/>
    <w:rsid w:val="00CA4AA2"/>
    <w:rsid w:val="00CA4C30"/>
    <w:rsid w:val="00CA4E58"/>
    <w:rsid w:val="00CA4F34"/>
    <w:rsid w:val="00CA4FB7"/>
    <w:rsid w:val="00CA53DA"/>
    <w:rsid w:val="00CA5966"/>
    <w:rsid w:val="00CA6204"/>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AEA"/>
    <w:rsid w:val="00CB7C66"/>
    <w:rsid w:val="00CC0D71"/>
    <w:rsid w:val="00CC2F3D"/>
    <w:rsid w:val="00CC3433"/>
    <w:rsid w:val="00CC398A"/>
    <w:rsid w:val="00CC4826"/>
    <w:rsid w:val="00CC488E"/>
    <w:rsid w:val="00CC4BEE"/>
    <w:rsid w:val="00CC5270"/>
    <w:rsid w:val="00CC6B56"/>
    <w:rsid w:val="00CC7328"/>
    <w:rsid w:val="00CC7A0F"/>
    <w:rsid w:val="00CD0200"/>
    <w:rsid w:val="00CD0A75"/>
    <w:rsid w:val="00CD2FC7"/>
    <w:rsid w:val="00CD3EDA"/>
    <w:rsid w:val="00CD5952"/>
    <w:rsid w:val="00CD68D7"/>
    <w:rsid w:val="00CE0A60"/>
    <w:rsid w:val="00CE2047"/>
    <w:rsid w:val="00CE4B6F"/>
    <w:rsid w:val="00CE5920"/>
    <w:rsid w:val="00CE5C5E"/>
    <w:rsid w:val="00CF1178"/>
    <w:rsid w:val="00CF22FE"/>
    <w:rsid w:val="00CF2688"/>
    <w:rsid w:val="00CF3875"/>
    <w:rsid w:val="00CF445B"/>
    <w:rsid w:val="00CF5BC3"/>
    <w:rsid w:val="00CF68E9"/>
    <w:rsid w:val="00CF7484"/>
    <w:rsid w:val="00D0046C"/>
    <w:rsid w:val="00D00771"/>
    <w:rsid w:val="00D0160F"/>
    <w:rsid w:val="00D017D7"/>
    <w:rsid w:val="00D01FB7"/>
    <w:rsid w:val="00D0211C"/>
    <w:rsid w:val="00D04352"/>
    <w:rsid w:val="00D04A80"/>
    <w:rsid w:val="00D05B06"/>
    <w:rsid w:val="00D06D6F"/>
    <w:rsid w:val="00D0708E"/>
    <w:rsid w:val="00D07F3D"/>
    <w:rsid w:val="00D1195C"/>
    <w:rsid w:val="00D11F20"/>
    <w:rsid w:val="00D121E5"/>
    <w:rsid w:val="00D12C69"/>
    <w:rsid w:val="00D1468C"/>
    <w:rsid w:val="00D14C2F"/>
    <w:rsid w:val="00D14EF6"/>
    <w:rsid w:val="00D15125"/>
    <w:rsid w:val="00D1533B"/>
    <w:rsid w:val="00D1555A"/>
    <w:rsid w:val="00D158BD"/>
    <w:rsid w:val="00D15D5B"/>
    <w:rsid w:val="00D16066"/>
    <w:rsid w:val="00D16D9F"/>
    <w:rsid w:val="00D16F7B"/>
    <w:rsid w:val="00D171C2"/>
    <w:rsid w:val="00D223A6"/>
    <w:rsid w:val="00D2248B"/>
    <w:rsid w:val="00D22912"/>
    <w:rsid w:val="00D22D51"/>
    <w:rsid w:val="00D2478D"/>
    <w:rsid w:val="00D24B9F"/>
    <w:rsid w:val="00D25DFC"/>
    <w:rsid w:val="00D260FA"/>
    <w:rsid w:val="00D2696C"/>
    <w:rsid w:val="00D2740D"/>
    <w:rsid w:val="00D318EB"/>
    <w:rsid w:val="00D31BF6"/>
    <w:rsid w:val="00D31E6B"/>
    <w:rsid w:val="00D32225"/>
    <w:rsid w:val="00D35BA8"/>
    <w:rsid w:val="00D35F51"/>
    <w:rsid w:val="00D36472"/>
    <w:rsid w:val="00D37619"/>
    <w:rsid w:val="00D404C8"/>
    <w:rsid w:val="00D41373"/>
    <w:rsid w:val="00D418CA"/>
    <w:rsid w:val="00D41B65"/>
    <w:rsid w:val="00D43C2D"/>
    <w:rsid w:val="00D43CFD"/>
    <w:rsid w:val="00D442A7"/>
    <w:rsid w:val="00D446A2"/>
    <w:rsid w:val="00D46733"/>
    <w:rsid w:val="00D468B0"/>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7797B"/>
    <w:rsid w:val="00D81588"/>
    <w:rsid w:val="00D81634"/>
    <w:rsid w:val="00D8188D"/>
    <w:rsid w:val="00D82813"/>
    <w:rsid w:val="00D84265"/>
    <w:rsid w:val="00D84499"/>
    <w:rsid w:val="00D85278"/>
    <w:rsid w:val="00D856E7"/>
    <w:rsid w:val="00D85892"/>
    <w:rsid w:val="00D86523"/>
    <w:rsid w:val="00D8659C"/>
    <w:rsid w:val="00D86740"/>
    <w:rsid w:val="00D87C1B"/>
    <w:rsid w:val="00D90B13"/>
    <w:rsid w:val="00D913BC"/>
    <w:rsid w:val="00D92522"/>
    <w:rsid w:val="00D937F4"/>
    <w:rsid w:val="00D93AFA"/>
    <w:rsid w:val="00D94C4C"/>
    <w:rsid w:val="00D950DA"/>
    <w:rsid w:val="00D95C8D"/>
    <w:rsid w:val="00D967DF"/>
    <w:rsid w:val="00D97499"/>
    <w:rsid w:val="00DA012E"/>
    <w:rsid w:val="00DA0884"/>
    <w:rsid w:val="00DA0C61"/>
    <w:rsid w:val="00DA1292"/>
    <w:rsid w:val="00DA2545"/>
    <w:rsid w:val="00DA2A3B"/>
    <w:rsid w:val="00DA3E5D"/>
    <w:rsid w:val="00DA40E6"/>
    <w:rsid w:val="00DA4643"/>
    <w:rsid w:val="00DA614A"/>
    <w:rsid w:val="00DA61A1"/>
    <w:rsid w:val="00DA6347"/>
    <w:rsid w:val="00DA6DEE"/>
    <w:rsid w:val="00DA7177"/>
    <w:rsid w:val="00DB0B04"/>
    <w:rsid w:val="00DB0CEB"/>
    <w:rsid w:val="00DB10D5"/>
    <w:rsid w:val="00DB1263"/>
    <w:rsid w:val="00DB1E16"/>
    <w:rsid w:val="00DB56A0"/>
    <w:rsid w:val="00DB6C84"/>
    <w:rsid w:val="00DB7F96"/>
    <w:rsid w:val="00DC0240"/>
    <w:rsid w:val="00DC0399"/>
    <w:rsid w:val="00DC0421"/>
    <w:rsid w:val="00DC04E1"/>
    <w:rsid w:val="00DC0552"/>
    <w:rsid w:val="00DC1544"/>
    <w:rsid w:val="00DC1549"/>
    <w:rsid w:val="00DC43ED"/>
    <w:rsid w:val="00DC46E8"/>
    <w:rsid w:val="00DC59C9"/>
    <w:rsid w:val="00DC76CF"/>
    <w:rsid w:val="00DD040A"/>
    <w:rsid w:val="00DD1E24"/>
    <w:rsid w:val="00DD4A1D"/>
    <w:rsid w:val="00DD5235"/>
    <w:rsid w:val="00DD5CC2"/>
    <w:rsid w:val="00DD6686"/>
    <w:rsid w:val="00DD727D"/>
    <w:rsid w:val="00DE0DF1"/>
    <w:rsid w:val="00DE27AE"/>
    <w:rsid w:val="00DE289F"/>
    <w:rsid w:val="00DE2BD1"/>
    <w:rsid w:val="00DE3DFE"/>
    <w:rsid w:val="00DE42FC"/>
    <w:rsid w:val="00DE4438"/>
    <w:rsid w:val="00DE4579"/>
    <w:rsid w:val="00DE557A"/>
    <w:rsid w:val="00DE5D04"/>
    <w:rsid w:val="00DE62FD"/>
    <w:rsid w:val="00DE74CF"/>
    <w:rsid w:val="00DF2968"/>
    <w:rsid w:val="00DF2BF5"/>
    <w:rsid w:val="00DF47CE"/>
    <w:rsid w:val="00DF74C6"/>
    <w:rsid w:val="00E039BD"/>
    <w:rsid w:val="00E03B19"/>
    <w:rsid w:val="00E04792"/>
    <w:rsid w:val="00E05245"/>
    <w:rsid w:val="00E06526"/>
    <w:rsid w:val="00E07268"/>
    <w:rsid w:val="00E07781"/>
    <w:rsid w:val="00E11CED"/>
    <w:rsid w:val="00E13E45"/>
    <w:rsid w:val="00E13F2B"/>
    <w:rsid w:val="00E1404F"/>
    <w:rsid w:val="00E14E60"/>
    <w:rsid w:val="00E14F3C"/>
    <w:rsid w:val="00E172DB"/>
    <w:rsid w:val="00E17F0F"/>
    <w:rsid w:val="00E20F62"/>
    <w:rsid w:val="00E221F9"/>
    <w:rsid w:val="00E22350"/>
    <w:rsid w:val="00E23DCA"/>
    <w:rsid w:val="00E26867"/>
    <w:rsid w:val="00E26C1D"/>
    <w:rsid w:val="00E26C80"/>
    <w:rsid w:val="00E2726C"/>
    <w:rsid w:val="00E27325"/>
    <w:rsid w:val="00E2767E"/>
    <w:rsid w:val="00E30C1E"/>
    <w:rsid w:val="00E31412"/>
    <w:rsid w:val="00E31E69"/>
    <w:rsid w:val="00E31E79"/>
    <w:rsid w:val="00E3233D"/>
    <w:rsid w:val="00E323F6"/>
    <w:rsid w:val="00E32E25"/>
    <w:rsid w:val="00E336B8"/>
    <w:rsid w:val="00E35D35"/>
    <w:rsid w:val="00E400B1"/>
    <w:rsid w:val="00E400CF"/>
    <w:rsid w:val="00E40681"/>
    <w:rsid w:val="00E40C58"/>
    <w:rsid w:val="00E41651"/>
    <w:rsid w:val="00E41D76"/>
    <w:rsid w:val="00E451E7"/>
    <w:rsid w:val="00E452FB"/>
    <w:rsid w:val="00E45C9B"/>
    <w:rsid w:val="00E45D52"/>
    <w:rsid w:val="00E47DB0"/>
    <w:rsid w:val="00E47FED"/>
    <w:rsid w:val="00E50F7D"/>
    <w:rsid w:val="00E5321E"/>
    <w:rsid w:val="00E5357C"/>
    <w:rsid w:val="00E5374F"/>
    <w:rsid w:val="00E54053"/>
    <w:rsid w:val="00E54B12"/>
    <w:rsid w:val="00E6071F"/>
    <w:rsid w:val="00E60F9B"/>
    <w:rsid w:val="00E627D4"/>
    <w:rsid w:val="00E627E6"/>
    <w:rsid w:val="00E641E0"/>
    <w:rsid w:val="00E648C1"/>
    <w:rsid w:val="00E64E79"/>
    <w:rsid w:val="00E66282"/>
    <w:rsid w:val="00E66344"/>
    <w:rsid w:val="00E70DF4"/>
    <w:rsid w:val="00E71439"/>
    <w:rsid w:val="00E72D38"/>
    <w:rsid w:val="00E74693"/>
    <w:rsid w:val="00E752A5"/>
    <w:rsid w:val="00E76D77"/>
    <w:rsid w:val="00E7784C"/>
    <w:rsid w:val="00E80AFF"/>
    <w:rsid w:val="00E8123A"/>
    <w:rsid w:val="00E8207A"/>
    <w:rsid w:val="00E827F5"/>
    <w:rsid w:val="00E83263"/>
    <w:rsid w:val="00E863B2"/>
    <w:rsid w:val="00E86BD3"/>
    <w:rsid w:val="00E90DA6"/>
    <w:rsid w:val="00E9150D"/>
    <w:rsid w:val="00E93ADF"/>
    <w:rsid w:val="00E94627"/>
    <w:rsid w:val="00E95578"/>
    <w:rsid w:val="00E95C44"/>
    <w:rsid w:val="00E976D8"/>
    <w:rsid w:val="00EA0F42"/>
    <w:rsid w:val="00EA11A6"/>
    <w:rsid w:val="00EA2057"/>
    <w:rsid w:val="00EA284E"/>
    <w:rsid w:val="00EA2FE3"/>
    <w:rsid w:val="00EA39A9"/>
    <w:rsid w:val="00EA57D9"/>
    <w:rsid w:val="00EA5A55"/>
    <w:rsid w:val="00EA60F5"/>
    <w:rsid w:val="00EA67F1"/>
    <w:rsid w:val="00EA7095"/>
    <w:rsid w:val="00EA7D5D"/>
    <w:rsid w:val="00EB0136"/>
    <w:rsid w:val="00EB094C"/>
    <w:rsid w:val="00EB0B53"/>
    <w:rsid w:val="00EB0B6B"/>
    <w:rsid w:val="00EB1DCC"/>
    <w:rsid w:val="00EB21C9"/>
    <w:rsid w:val="00EB2EBB"/>
    <w:rsid w:val="00EB336A"/>
    <w:rsid w:val="00EB4153"/>
    <w:rsid w:val="00EB5155"/>
    <w:rsid w:val="00EB54B6"/>
    <w:rsid w:val="00EB5E45"/>
    <w:rsid w:val="00EB6F75"/>
    <w:rsid w:val="00EC0348"/>
    <w:rsid w:val="00EC08A1"/>
    <w:rsid w:val="00EC0AA1"/>
    <w:rsid w:val="00EC134B"/>
    <w:rsid w:val="00EC160D"/>
    <w:rsid w:val="00EC1B1F"/>
    <w:rsid w:val="00EC22E9"/>
    <w:rsid w:val="00EC294E"/>
    <w:rsid w:val="00EC34BF"/>
    <w:rsid w:val="00EC38F4"/>
    <w:rsid w:val="00EC70FF"/>
    <w:rsid w:val="00EC73CA"/>
    <w:rsid w:val="00EC7C83"/>
    <w:rsid w:val="00ED02F8"/>
    <w:rsid w:val="00ED1FDF"/>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E7083"/>
    <w:rsid w:val="00EF1743"/>
    <w:rsid w:val="00EF5042"/>
    <w:rsid w:val="00EF783E"/>
    <w:rsid w:val="00EF7FC2"/>
    <w:rsid w:val="00F005C0"/>
    <w:rsid w:val="00F01244"/>
    <w:rsid w:val="00F01C3E"/>
    <w:rsid w:val="00F0330E"/>
    <w:rsid w:val="00F06EA5"/>
    <w:rsid w:val="00F07858"/>
    <w:rsid w:val="00F07A0A"/>
    <w:rsid w:val="00F1411E"/>
    <w:rsid w:val="00F14FC2"/>
    <w:rsid w:val="00F158F7"/>
    <w:rsid w:val="00F16DB7"/>
    <w:rsid w:val="00F200E4"/>
    <w:rsid w:val="00F20F45"/>
    <w:rsid w:val="00F21458"/>
    <w:rsid w:val="00F21956"/>
    <w:rsid w:val="00F225AB"/>
    <w:rsid w:val="00F22FB8"/>
    <w:rsid w:val="00F2343A"/>
    <w:rsid w:val="00F24F37"/>
    <w:rsid w:val="00F25DF7"/>
    <w:rsid w:val="00F27A43"/>
    <w:rsid w:val="00F31726"/>
    <w:rsid w:val="00F3183D"/>
    <w:rsid w:val="00F318D9"/>
    <w:rsid w:val="00F32ACE"/>
    <w:rsid w:val="00F32B02"/>
    <w:rsid w:val="00F34C94"/>
    <w:rsid w:val="00F35F6F"/>
    <w:rsid w:val="00F3757E"/>
    <w:rsid w:val="00F37C85"/>
    <w:rsid w:val="00F408F2"/>
    <w:rsid w:val="00F4252D"/>
    <w:rsid w:val="00F425D5"/>
    <w:rsid w:val="00F42A38"/>
    <w:rsid w:val="00F42E49"/>
    <w:rsid w:val="00F433EA"/>
    <w:rsid w:val="00F43A50"/>
    <w:rsid w:val="00F4432B"/>
    <w:rsid w:val="00F44641"/>
    <w:rsid w:val="00F447E5"/>
    <w:rsid w:val="00F45834"/>
    <w:rsid w:val="00F458E1"/>
    <w:rsid w:val="00F46020"/>
    <w:rsid w:val="00F460CA"/>
    <w:rsid w:val="00F478C4"/>
    <w:rsid w:val="00F47B8C"/>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24F"/>
    <w:rsid w:val="00F638C7"/>
    <w:rsid w:val="00F64281"/>
    <w:rsid w:val="00F65FC0"/>
    <w:rsid w:val="00F671F0"/>
    <w:rsid w:val="00F674D0"/>
    <w:rsid w:val="00F67E63"/>
    <w:rsid w:val="00F7065A"/>
    <w:rsid w:val="00F71845"/>
    <w:rsid w:val="00F73B5E"/>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0466"/>
    <w:rsid w:val="00FA3C84"/>
    <w:rsid w:val="00FA3E4F"/>
    <w:rsid w:val="00FA4353"/>
    <w:rsid w:val="00FA4748"/>
    <w:rsid w:val="00FA4A28"/>
    <w:rsid w:val="00FA63F9"/>
    <w:rsid w:val="00FA6737"/>
    <w:rsid w:val="00FA6B10"/>
    <w:rsid w:val="00FA6B53"/>
    <w:rsid w:val="00FB0C82"/>
    <w:rsid w:val="00FB3079"/>
    <w:rsid w:val="00FB3735"/>
    <w:rsid w:val="00FB47DB"/>
    <w:rsid w:val="00FB4D43"/>
    <w:rsid w:val="00FB5379"/>
    <w:rsid w:val="00FB5F4A"/>
    <w:rsid w:val="00FB7117"/>
    <w:rsid w:val="00FC0441"/>
    <w:rsid w:val="00FC0860"/>
    <w:rsid w:val="00FC1AB5"/>
    <w:rsid w:val="00FC2392"/>
    <w:rsid w:val="00FC3743"/>
    <w:rsid w:val="00FC73CD"/>
    <w:rsid w:val="00FC7560"/>
    <w:rsid w:val="00FD122F"/>
    <w:rsid w:val="00FD1708"/>
    <w:rsid w:val="00FD1B97"/>
    <w:rsid w:val="00FD1ED2"/>
    <w:rsid w:val="00FD1F2C"/>
    <w:rsid w:val="00FD22AB"/>
    <w:rsid w:val="00FD25E5"/>
    <w:rsid w:val="00FD3023"/>
    <w:rsid w:val="00FD4261"/>
    <w:rsid w:val="00FD46DC"/>
    <w:rsid w:val="00FD4B55"/>
    <w:rsid w:val="00FD591D"/>
    <w:rsid w:val="00FD6FB3"/>
    <w:rsid w:val="00FD7D5B"/>
    <w:rsid w:val="00FE148F"/>
    <w:rsid w:val="00FE1D6D"/>
    <w:rsid w:val="00FE2C21"/>
    <w:rsid w:val="00FE2E6E"/>
    <w:rsid w:val="00FE46D9"/>
    <w:rsid w:val="00FE5277"/>
    <w:rsid w:val="00FE7309"/>
    <w:rsid w:val="00FF04CC"/>
    <w:rsid w:val="00FF18B3"/>
    <w:rsid w:val="00FF2401"/>
    <w:rsid w:val="00FF270E"/>
    <w:rsid w:val="00FF33DA"/>
    <w:rsid w:val="00FF35ED"/>
    <w:rsid w:val="00FF36B9"/>
    <w:rsid w:val="00FF3DB1"/>
    <w:rsid w:val="00FF416B"/>
    <w:rsid w:val="00FF5B73"/>
    <w:rsid w:val="00FF7945"/>
    <w:rsid w:val="01042619"/>
    <w:rsid w:val="0106443D"/>
    <w:rsid w:val="010975C0"/>
    <w:rsid w:val="01172099"/>
    <w:rsid w:val="01200F7F"/>
    <w:rsid w:val="01264E84"/>
    <w:rsid w:val="01333A53"/>
    <w:rsid w:val="01385525"/>
    <w:rsid w:val="01415912"/>
    <w:rsid w:val="01491230"/>
    <w:rsid w:val="014E306B"/>
    <w:rsid w:val="01583662"/>
    <w:rsid w:val="015E1342"/>
    <w:rsid w:val="01633F5B"/>
    <w:rsid w:val="016853DB"/>
    <w:rsid w:val="01732AAC"/>
    <w:rsid w:val="01937A3E"/>
    <w:rsid w:val="019D5C01"/>
    <w:rsid w:val="01A337AA"/>
    <w:rsid w:val="01AC6C4D"/>
    <w:rsid w:val="01AE5B4F"/>
    <w:rsid w:val="01B04E74"/>
    <w:rsid w:val="01B16AD4"/>
    <w:rsid w:val="01C20073"/>
    <w:rsid w:val="01CE0603"/>
    <w:rsid w:val="01D34A64"/>
    <w:rsid w:val="01DF1BA2"/>
    <w:rsid w:val="01ED6964"/>
    <w:rsid w:val="01FF1628"/>
    <w:rsid w:val="02016291"/>
    <w:rsid w:val="020476C0"/>
    <w:rsid w:val="02051AE6"/>
    <w:rsid w:val="02062981"/>
    <w:rsid w:val="020B75B1"/>
    <w:rsid w:val="02111B48"/>
    <w:rsid w:val="02166B7D"/>
    <w:rsid w:val="021D7764"/>
    <w:rsid w:val="02235236"/>
    <w:rsid w:val="02242574"/>
    <w:rsid w:val="02242FE2"/>
    <w:rsid w:val="022B3D13"/>
    <w:rsid w:val="02352785"/>
    <w:rsid w:val="023656B6"/>
    <w:rsid w:val="02385AB4"/>
    <w:rsid w:val="02433E45"/>
    <w:rsid w:val="024824CB"/>
    <w:rsid w:val="024C0ED1"/>
    <w:rsid w:val="025D44FA"/>
    <w:rsid w:val="02623074"/>
    <w:rsid w:val="02671BD1"/>
    <w:rsid w:val="02751302"/>
    <w:rsid w:val="028123A0"/>
    <w:rsid w:val="02852330"/>
    <w:rsid w:val="028B6A1D"/>
    <w:rsid w:val="028E2AC4"/>
    <w:rsid w:val="028F1C3E"/>
    <w:rsid w:val="02A47344"/>
    <w:rsid w:val="02BD0C30"/>
    <w:rsid w:val="02D3440B"/>
    <w:rsid w:val="02D55583"/>
    <w:rsid w:val="02E14C48"/>
    <w:rsid w:val="02ED42DD"/>
    <w:rsid w:val="02EE7A68"/>
    <w:rsid w:val="02F827B5"/>
    <w:rsid w:val="02FB0DE2"/>
    <w:rsid w:val="02FC44A4"/>
    <w:rsid w:val="0301505B"/>
    <w:rsid w:val="03157F31"/>
    <w:rsid w:val="031A5CA5"/>
    <w:rsid w:val="032569FB"/>
    <w:rsid w:val="03273038"/>
    <w:rsid w:val="033108A2"/>
    <w:rsid w:val="033169B2"/>
    <w:rsid w:val="033B56D0"/>
    <w:rsid w:val="033F28BF"/>
    <w:rsid w:val="03486E5D"/>
    <w:rsid w:val="03507D69"/>
    <w:rsid w:val="03572688"/>
    <w:rsid w:val="036F1A46"/>
    <w:rsid w:val="03727200"/>
    <w:rsid w:val="037339E3"/>
    <w:rsid w:val="037451B3"/>
    <w:rsid w:val="0375443D"/>
    <w:rsid w:val="03786440"/>
    <w:rsid w:val="037D0CB3"/>
    <w:rsid w:val="03AC7B94"/>
    <w:rsid w:val="03B07C89"/>
    <w:rsid w:val="03B96EA9"/>
    <w:rsid w:val="03D4720A"/>
    <w:rsid w:val="03D93DB6"/>
    <w:rsid w:val="03E227A7"/>
    <w:rsid w:val="03F201A1"/>
    <w:rsid w:val="040D7E23"/>
    <w:rsid w:val="04153D40"/>
    <w:rsid w:val="041D56C0"/>
    <w:rsid w:val="042A49C3"/>
    <w:rsid w:val="042C4E2B"/>
    <w:rsid w:val="042C6F72"/>
    <w:rsid w:val="042F48EA"/>
    <w:rsid w:val="04324BA4"/>
    <w:rsid w:val="04443B68"/>
    <w:rsid w:val="04457368"/>
    <w:rsid w:val="044A489D"/>
    <w:rsid w:val="044C2EE9"/>
    <w:rsid w:val="04573E4B"/>
    <w:rsid w:val="04580326"/>
    <w:rsid w:val="0458764A"/>
    <w:rsid w:val="045F4DF2"/>
    <w:rsid w:val="04654053"/>
    <w:rsid w:val="04676B50"/>
    <w:rsid w:val="04793516"/>
    <w:rsid w:val="047A3CFF"/>
    <w:rsid w:val="04845678"/>
    <w:rsid w:val="048609E5"/>
    <w:rsid w:val="049141D1"/>
    <w:rsid w:val="04952D5C"/>
    <w:rsid w:val="04AC7736"/>
    <w:rsid w:val="04B84CCD"/>
    <w:rsid w:val="04C063D7"/>
    <w:rsid w:val="04D2711A"/>
    <w:rsid w:val="04EB2CE5"/>
    <w:rsid w:val="04EC539C"/>
    <w:rsid w:val="04EF6F26"/>
    <w:rsid w:val="04F22E34"/>
    <w:rsid w:val="04F26070"/>
    <w:rsid w:val="04F3592C"/>
    <w:rsid w:val="04F76307"/>
    <w:rsid w:val="04F85637"/>
    <w:rsid w:val="05012232"/>
    <w:rsid w:val="05012C0C"/>
    <w:rsid w:val="05047AA9"/>
    <w:rsid w:val="050A510B"/>
    <w:rsid w:val="0513096D"/>
    <w:rsid w:val="051800EA"/>
    <w:rsid w:val="05225CD8"/>
    <w:rsid w:val="05317828"/>
    <w:rsid w:val="05332F81"/>
    <w:rsid w:val="05383F82"/>
    <w:rsid w:val="053B0D44"/>
    <w:rsid w:val="053B15A4"/>
    <w:rsid w:val="0546279C"/>
    <w:rsid w:val="05477E90"/>
    <w:rsid w:val="055C0456"/>
    <w:rsid w:val="055C4C39"/>
    <w:rsid w:val="055F2E7A"/>
    <w:rsid w:val="056165D1"/>
    <w:rsid w:val="05675D50"/>
    <w:rsid w:val="056A6A51"/>
    <w:rsid w:val="057F295A"/>
    <w:rsid w:val="0584521B"/>
    <w:rsid w:val="05847908"/>
    <w:rsid w:val="058D5B2B"/>
    <w:rsid w:val="05941C32"/>
    <w:rsid w:val="05A25054"/>
    <w:rsid w:val="05AE289B"/>
    <w:rsid w:val="05AF11E1"/>
    <w:rsid w:val="05B96530"/>
    <w:rsid w:val="05BB5AB9"/>
    <w:rsid w:val="05C15B39"/>
    <w:rsid w:val="05C32CC9"/>
    <w:rsid w:val="05C42923"/>
    <w:rsid w:val="05C6526C"/>
    <w:rsid w:val="05C84C51"/>
    <w:rsid w:val="05D40DEE"/>
    <w:rsid w:val="05D55F1F"/>
    <w:rsid w:val="05E53FBB"/>
    <w:rsid w:val="05F61CD7"/>
    <w:rsid w:val="05F9582B"/>
    <w:rsid w:val="05FE3860"/>
    <w:rsid w:val="060F0D04"/>
    <w:rsid w:val="060F76E4"/>
    <w:rsid w:val="061B4495"/>
    <w:rsid w:val="061C3F4A"/>
    <w:rsid w:val="06226EA6"/>
    <w:rsid w:val="06233AA0"/>
    <w:rsid w:val="06246E99"/>
    <w:rsid w:val="062522ED"/>
    <w:rsid w:val="062C21B1"/>
    <w:rsid w:val="063762B0"/>
    <w:rsid w:val="063A3B6F"/>
    <w:rsid w:val="06414B04"/>
    <w:rsid w:val="06431A76"/>
    <w:rsid w:val="064340F9"/>
    <w:rsid w:val="064B7B0F"/>
    <w:rsid w:val="064E6EC7"/>
    <w:rsid w:val="066404E1"/>
    <w:rsid w:val="06694467"/>
    <w:rsid w:val="06697925"/>
    <w:rsid w:val="068C5A54"/>
    <w:rsid w:val="069053B0"/>
    <w:rsid w:val="06925482"/>
    <w:rsid w:val="0696055B"/>
    <w:rsid w:val="06963BA6"/>
    <w:rsid w:val="06A00E6B"/>
    <w:rsid w:val="06A14A2E"/>
    <w:rsid w:val="06BF2198"/>
    <w:rsid w:val="06C66BC4"/>
    <w:rsid w:val="06C745AE"/>
    <w:rsid w:val="06CC7EAD"/>
    <w:rsid w:val="06DB57CD"/>
    <w:rsid w:val="06DC5FA2"/>
    <w:rsid w:val="06DD6751"/>
    <w:rsid w:val="06E573E1"/>
    <w:rsid w:val="06EA5B71"/>
    <w:rsid w:val="06EB12EA"/>
    <w:rsid w:val="06EE69EC"/>
    <w:rsid w:val="06F36218"/>
    <w:rsid w:val="06F366F7"/>
    <w:rsid w:val="06F75D87"/>
    <w:rsid w:val="06F97293"/>
    <w:rsid w:val="06FC2F86"/>
    <w:rsid w:val="06FC49F0"/>
    <w:rsid w:val="06FD1204"/>
    <w:rsid w:val="07167BB0"/>
    <w:rsid w:val="07175632"/>
    <w:rsid w:val="07175F1D"/>
    <w:rsid w:val="07355B51"/>
    <w:rsid w:val="07405608"/>
    <w:rsid w:val="07464A8A"/>
    <w:rsid w:val="074C2609"/>
    <w:rsid w:val="07530B70"/>
    <w:rsid w:val="0759303D"/>
    <w:rsid w:val="076C47A9"/>
    <w:rsid w:val="07770ECE"/>
    <w:rsid w:val="07782C88"/>
    <w:rsid w:val="0793463A"/>
    <w:rsid w:val="07967F23"/>
    <w:rsid w:val="079B0830"/>
    <w:rsid w:val="079F680F"/>
    <w:rsid w:val="07A45702"/>
    <w:rsid w:val="07CD3CDD"/>
    <w:rsid w:val="07D56CE9"/>
    <w:rsid w:val="07ED0B0D"/>
    <w:rsid w:val="07EF4010"/>
    <w:rsid w:val="07FF7B2E"/>
    <w:rsid w:val="08062C9C"/>
    <w:rsid w:val="080865D4"/>
    <w:rsid w:val="080B49C4"/>
    <w:rsid w:val="08130047"/>
    <w:rsid w:val="08130D4D"/>
    <w:rsid w:val="081477D8"/>
    <w:rsid w:val="081526EE"/>
    <w:rsid w:val="08180A58"/>
    <w:rsid w:val="081972B7"/>
    <w:rsid w:val="081B7808"/>
    <w:rsid w:val="08273270"/>
    <w:rsid w:val="08380F8C"/>
    <w:rsid w:val="083E6EA0"/>
    <w:rsid w:val="0855671D"/>
    <w:rsid w:val="085E14A0"/>
    <w:rsid w:val="086F18EA"/>
    <w:rsid w:val="086F3C54"/>
    <w:rsid w:val="08700A77"/>
    <w:rsid w:val="08745E7F"/>
    <w:rsid w:val="087738F5"/>
    <w:rsid w:val="08865916"/>
    <w:rsid w:val="08895FE0"/>
    <w:rsid w:val="088E0696"/>
    <w:rsid w:val="089009EB"/>
    <w:rsid w:val="08913008"/>
    <w:rsid w:val="08A96B22"/>
    <w:rsid w:val="08AA60F0"/>
    <w:rsid w:val="08AC1471"/>
    <w:rsid w:val="08AE56A1"/>
    <w:rsid w:val="08B253D3"/>
    <w:rsid w:val="08B37272"/>
    <w:rsid w:val="08B40674"/>
    <w:rsid w:val="08BA7814"/>
    <w:rsid w:val="08BC1A4A"/>
    <w:rsid w:val="08C03B61"/>
    <w:rsid w:val="08C068E7"/>
    <w:rsid w:val="08C62C47"/>
    <w:rsid w:val="08C91775"/>
    <w:rsid w:val="08D40E0B"/>
    <w:rsid w:val="08DB0795"/>
    <w:rsid w:val="08EA2407"/>
    <w:rsid w:val="08F04EB8"/>
    <w:rsid w:val="08FE26E3"/>
    <w:rsid w:val="09015152"/>
    <w:rsid w:val="09164F64"/>
    <w:rsid w:val="09313723"/>
    <w:rsid w:val="09350FDF"/>
    <w:rsid w:val="093B76A2"/>
    <w:rsid w:val="09432DAA"/>
    <w:rsid w:val="09523F3D"/>
    <w:rsid w:val="095274DB"/>
    <w:rsid w:val="0955756B"/>
    <w:rsid w:val="095835E2"/>
    <w:rsid w:val="0968167E"/>
    <w:rsid w:val="09716BCA"/>
    <w:rsid w:val="09773B45"/>
    <w:rsid w:val="09824989"/>
    <w:rsid w:val="098B2CC4"/>
    <w:rsid w:val="09906FB0"/>
    <w:rsid w:val="099142E0"/>
    <w:rsid w:val="09953B9E"/>
    <w:rsid w:val="09B94D63"/>
    <w:rsid w:val="09C83025"/>
    <w:rsid w:val="09C86C9A"/>
    <w:rsid w:val="09CF30F8"/>
    <w:rsid w:val="09D25747"/>
    <w:rsid w:val="09D26037"/>
    <w:rsid w:val="09D44319"/>
    <w:rsid w:val="09D64B23"/>
    <w:rsid w:val="09E23546"/>
    <w:rsid w:val="09E35B70"/>
    <w:rsid w:val="09E37071"/>
    <w:rsid w:val="09E644B8"/>
    <w:rsid w:val="09E7434B"/>
    <w:rsid w:val="09E75D29"/>
    <w:rsid w:val="09EB2B51"/>
    <w:rsid w:val="0A033A7B"/>
    <w:rsid w:val="0A0F4E8E"/>
    <w:rsid w:val="0A110812"/>
    <w:rsid w:val="0A154A48"/>
    <w:rsid w:val="0A1A6F23"/>
    <w:rsid w:val="0A202BEA"/>
    <w:rsid w:val="0A333840"/>
    <w:rsid w:val="0A3F57B0"/>
    <w:rsid w:val="0A4E52DF"/>
    <w:rsid w:val="0A4F6CAF"/>
    <w:rsid w:val="0A52707D"/>
    <w:rsid w:val="0A565A84"/>
    <w:rsid w:val="0A596A08"/>
    <w:rsid w:val="0A794B51"/>
    <w:rsid w:val="0A7E33C5"/>
    <w:rsid w:val="0A822C92"/>
    <w:rsid w:val="0A864054"/>
    <w:rsid w:val="0A867423"/>
    <w:rsid w:val="0A932C90"/>
    <w:rsid w:val="0A9764ED"/>
    <w:rsid w:val="0AA15171"/>
    <w:rsid w:val="0AA51394"/>
    <w:rsid w:val="0AAD3763"/>
    <w:rsid w:val="0AAE6112"/>
    <w:rsid w:val="0AAF4E64"/>
    <w:rsid w:val="0AB155C2"/>
    <w:rsid w:val="0AB643CD"/>
    <w:rsid w:val="0ABD33FC"/>
    <w:rsid w:val="0AC06F59"/>
    <w:rsid w:val="0AD41779"/>
    <w:rsid w:val="0ADF38CC"/>
    <w:rsid w:val="0AE30B6B"/>
    <w:rsid w:val="0AEF7908"/>
    <w:rsid w:val="0AF26DD3"/>
    <w:rsid w:val="0AF51CDA"/>
    <w:rsid w:val="0AFB6211"/>
    <w:rsid w:val="0B12013A"/>
    <w:rsid w:val="0B152F53"/>
    <w:rsid w:val="0B165C86"/>
    <w:rsid w:val="0B191045"/>
    <w:rsid w:val="0B2230CC"/>
    <w:rsid w:val="0B245D93"/>
    <w:rsid w:val="0B247217"/>
    <w:rsid w:val="0B297835"/>
    <w:rsid w:val="0B2C770A"/>
    <w:rsid w:val="0B331BEE"/>
    <w:rsid w:val="0B3D3C2F"/>
    <w:rsid w:val="0B4B42E4"/>
    <w:rsid w:val="0B642DAB"/>
    <w:rsid w:val="0B6C26D6"/>
    <w:rsid w:val="0B6D7260"/>
    <w:rsid w:val="0B704CA2"/>
    <w:rsid w:val="0B75558A"/>
    <w:rsid w:val="0B765B5B"/>
    <w:rsid w:val="0B7903AB"/>
    <w:rsid w:val="0B83720D"/>
    <w:rsid w:val="0B85263B"/>
    <w:rsid w:val="0B9B163F"/>
    <w:rsid w:val="0BA33F49"/>
    <w:rsid w:val="0BA97EAB"/>
    <w:rsid w:val="0BB03B50"/>
    <w:rsid w:val="0BB0429A"/>
    <w:rsid w:val="0BB124BD"/>
    <w:rsid w:val="0BB261FB"/>
    <w:rsid w:val="0BB43441"/>
    <w:rsid w:val="0BB858A0"/>
    <w:rsid w:val="0BBC2C05"/>
    <w:rsid w:val="0BC255F4"/>
    <w:rsid w:val="0BC820E2"/>
    <w:rsid w:val="0BD16C8D"/>
    <w:rsid w:val="0BD33CF6"/>
    <w:rsid w:val="0BDD6CEC"/>
    <w:rsid w:val="0BE875DE"/>
    <w:rsid w:val="0BEB16C0"/>
    <w:rsid w:val="0BF73BE1"/>
    <w:rsid w:val="0BFE3482"/>
    <w:rsid w:val="0BFF5FC6"/>
    <w:rsid w:val="0C0014DF"/>
    <w:rsid w:val="0C07544A"/>
    <w:rsid w:val="0C084F6E"/>
    <w:rsid w:val="0C0965F3"/>
    <w:rsid w:val="0C0B17FB"/>
    <w:rsid w:val="0C133C12"/>
    <w:rsid w:val="0C39167A"/>
    <w:rsid w:val="0C39369B"/>
    <w:rsid w:val="0C394019"/>
    <w:rsid w:val="0C4241D4"/>
    <w:rsid w:val="0C457178"/>
    <w:rsid w:val="0C4A769D"/>
    <w:rsid w:val="0C4D1042"/>
    <w:rsid w:val="0C4F0540"/>
    <w:rsid w:val="0C565B2A"/>
    <w:rsid w:val="0C8D321E"/>
    <w:rsid w:val="0C923DA2"/>
    <w:rsid w:val="0CA61AD0"/>
    <w:rsid w:val="0CAD77B7"/>
    <w:rsid w:val="0CB22A47"/>
    <w:rsid w:val="0CB31CC9"/>
    <w:rsid w:val="0CB463D4"/>
    <w:rsid w:val="0CBD4B01"/>
    <w:rsid w:val="0CC642C6"/>
    <w:rsid w:val="0CD05342"/>
    <w:rsid w:val="0CDB0C81"/>
    <w:rsid w:val="0CDB4E5B"/>
    <w:rsid w:val="0CDB70AC"/>
    <w:rsid w:val="0CE21AB1"/>
    <w:rsid w:val="0CE5708A"/>
    <w:rsid w:val="0CEA706C"/>
    <w:rsid w:val="0CF550D2"/>
    <w:rsid w:val="0CF81195"/>
    <w:rsid w:val="0CFB25DD"/>
    <w:rsid w:val="0CFE4E6B"/>
    <w:rsid w:val="0D01207F"/>
    <w:rsid w:val="0D032B71"/>
    <w:rsid w:val="0D0C4CC8"/>
    <w:rsid w:val="0D19658C"/>
    <w:rsid w:val="0D1D50CE"/>
    <w:rsid w:val="0D214674"/>
    <w:rsid w:val="0D2D6A1B"/>
    <w:rsid w:val="0D3273D0"/>
    <w:rsid w:val="0D3A6AC1"/>
    <w:rsid w:val="0D3B0FD3"/>
    <w:rsid w:val="0D3F5CE9"/>
    <w:rsid w:val="0D5B6CCD"/>
    <w:rsid w:val="0D644FF9"/>
    <w:rsid w:val="0D645815"/>
    <w:rsid w:val="0D6757FA"/>
    <w:rsid w:val="0D6A70DB"/>
    <w:rsid w:val="0D731117"/>
    <w:rsid w:val="0D750C36"/>
    <w:rsid w:val="0D7D3C2B"/>
    <w:rsid w:val="0D8301BA"/>
    <w:rsid w:val="0D834936"/>
    <w:rsid w:val="0D8F3DBA"/>
    <w:rsid w:val="0D945EB9"/>
    <w:rsid w:val="0DA11EDB"/>
    <w:rsid w:val="0DA251EB"/>
    <w:rsid w:val="0DA77E30"/>
    <w:rsid w:val="0DB96B58"/>
    <w:rsid w:val="0DBD19AF"/>
    <w:rsid w:val="0DBE6D1A"/>
    <w:rsid w:val="0DC71BA8"/>
    <w:rsid w:val="0DDB40CB"/>
    <w:rsid w:val="0DDD2CB6"/>
    <w:rsid w:val="0DEE717F"/>
    <w:rsid w:val="0DEE745F"/>
    <w:rsid w:val="0DF155E2"/>
    <w:rsid w:val="0DF20C3B"/>
    <w:rsid w:val="0DFF1B83"/>
    <w:rsid w:val="0E05740D"/>
    <w:rsid w:val="0E1032A1"/>
    <w:rsid w:val="0E112126"/>
    <w:rsid w:val="0E136B32"/>
    <w:rsid w:val="0E1A3BB0"/>
    <w:rsid w:val="0E1C2936"/>
    <w:rsid w:val="0E260FA4"/>
    <w:rsid w:val="0E3E1628"/>
    <w:rsid w:val="0E3F1D32"/>
    <w:rsid w:val="0E424522"/>
    <w:rsid w:val="0E475979"/>
    <w:rsid w:val="0E4B437F"/>
    <w:rsid w:val="0E4C1F50"/>
    <w:rsid w:val="0E52104E"/>
    <w:rsid w:val="0E6A585C"/>
    <w:rsid w:val="0E7145BF"/>
    <w:rsid w:val="0E8841E4"/>
    <w:rsid w:val="0E8A7F6C"/>
    <w:rsid w:val="0E954722"/>
    <w:rsid w:val="0E967088"/>
    <w:rsid w:val="0E9A7A43"/>
    <w:rsid w:val="0EA0188B"/>
    <w:rsid w:val="0EA46D61"/>
    <w:rsid w:val="0ED777E6"/>
    <w:rsid w:val="0EDC213C"/>
    <w:rsid w:val="0EDE7618"/>
    <w:rsid w:val="0EF3119F"/>
    <w:rsid w:val="0EFC0571"/>
    <w:rsid w:val="0F01062B"/>
    <w:rsid w:val="0F077CDC"/>
    <w:rsid w:val="0F087FB5"/>
    <w:rsid w:val="0F1108C5"/>
    <w:rsid w:val="0F1A5019"/>
    <w:rsid w:val="0F20569D"/>
    <w:rsid w:val="0F2862EC"/>
    <w:rsid w:val="0F2D0984"/>
    <w:rsid w:val="0F316BFB"/>
    <w:rsid w:val="0F320250"/>
    <w:rsid w:val="0F320DDE"/>
    <w:rsid w:val="0F32467D"/>
    <w:rsid w:val="0F366293"/>
    <w:rsid w:val="0F46589C"/>
    <w:rsid w:val="0F4B77A5"/>
    <w:rsid w:val="0F4D74F1"/>
    <w:rsid w:val="0F5229B3"/>
    <w:rsid w:val="0F553938"/>
    <w:rsid w:val="0F626F3C"/>
    <w:rsid w:val="0F7413D8"/>
    <w:rsid w:val="0F7656DC"/>
    <w:rsid w:val="0F8E4CED"/>
    <w:rsid w:val="0F9B659E"/>
    <w:rsid w:val="0FA1772D"/>
    <w:rsid w:val="0FAD3D1E"/>
    <w:rsid w:val="0FBF6D8B"/>
    <w:rsid w:val="0FC93F90"/>
    <w:rsid w:val="0FCC6ABE"/>
    <w:rsid w:val="0FD521FE"/>
    <w:rsid w:val="0FE108E8"/>
    <w:rsid w:val="0FE25375"/>
    <w:rsid w:val="0FE33460"/>
    <w:rsid w:val="0FF00688"/>
    <w:rsid w:val="0FF024B1"/>
    <w:rsid w:val="0FF23B33"/>
    <w:rsid w:val="100D7863"/>
    <w:rsid w:val="101002B2"/>
    <w:rsid w:val="101342D3"/>
    <w:rsid w:val="1021624A"/>
    <w:rsid w:val="102263EF"/>
    <w:rsid w:val="10232374"/>
    <w:rsid w:val="10236E13"/>
    <w:rsid w:val="10277CAB"/>
    <w:rsid w:val="10330A8C"/>
    <w:rsid w:val="104D27DD"/>
    <w:rsid w:val="10552238"/>
    <w:rsid w:val="10581601"/>
    <w:rsid w:val="10592329"/>
    <w:rsid w:val="10613479"/>
    <w:rsid w:val="106164CC"/>
    <w:rsid w:val="1069272E"/>
    <w:rsid w:val="106B567E"/>
    <w:rsid w:val="106C3C7A"/>
    <w:rsid w:val="10742570"/>
    <w:rsid w:val="1078522C"/>
    <w:rsid w:val="107D2892"/>
    <w:rsid w:val="10807813"/>
    <w:rsid w:val="10845E1B"/>
    <w:rsid w:val="10997F43"/>
    <w:rsid w:val="109B0DCE"/>
    <w:rsid w:val="10A226E9"/>
    <w:rsid w:val="10B073B3"/>
    <w:rsid w:val="10B50F76"/>
    <w:rsid w:val="10BA0847"/>
    <w:rsid w:val="10BD2C44"/>
    <w:rsid w:val="10BE2C61"/>
    <w:rsid w:val="10D42804"/>
    <w:rsid w:val="10D64D2E"/>
    <w:rsid w:val="10DE7BAE"/>
    <w:rsid w:val="10DF0A9B"/>
    <w:rsid w:val="10E11279"/>
    <w:rsid w:val="11005D0B"/>
    <w:rsid w:val="110104A5"/>
    <w:rsid w:val="110A6481"/>
    <w:rsid w:val="110B7857"/>
    <w:rsid w:val="110C1984"/>
    <w:rsid w:val="11177D15"/>
    <w:rsid w:val="1124702B"/>
    <w:rsid w:val="11254AAD"/>
    <w:rsid w:val="11335510"/>
    <w:rsid w:val="11441260"/>
    <w:rsid w:val="11460115"/>
    <w:rsid w:val="114A78AB"/>
    <w:rsid w:val="11524FFA"/>
    <w:rsid w:val="1155307D"/>
    <w:rsid w:val="11555312"/>
    <w:rsid w:val="11574382"/>
    <w:rsid w:val="11583FE3"/>
    <w:rsid w:val="115B080A"/>
    <w:rsid w:val="1165653D"/>
    <w:rsid w:val="116A1D1E"/>
    <w:rsid w:val="1175349A"/>
    <w:rsid w:val="117552CD"/>
    <w:rsid w:val="1176116C"/>
    <w:rsid w:val="118F429B"/>
    <w:rsid w:val="11935ED7"/>
    <w:rsid w:val="1194379C"/>
    <w:rsid w:val="119C4486"/>
    <w:rsid w:val="11AB50FF"/>
    <w:rsid w:val="11B86BB3"/>
    <w:rsid w:val="11D755F1"/>
    <w:rsid w:val="11DD7ADE"/>
    <w:rsid w:val="11DF2FE2"/>
    <w:rsid w:val="11E00A63"/>
    <w:rsid w:val="11E1392D"/>
    <w:rsid w:val="11E74B6B"/>
    <w:rsid w:val="11EB1864"/>
    <w:rsid w:val="11FB708E"/>
    <w:rsid w:val="11FD405B"/>
    <w:rsid w:val="1203449B"/>
    <w:rsid w:val="12064E3D"/>
    <w:rsid w:val="120774A3"/>
    <w:rsid w:val="120B6A0C"/>
    <w:rsid w:val="120B7604"/>
    <w:rsid w:val="120F5136"/>
    <w:rsid w:val="12112440"/>
    <w:rsid w:val="12145A3A"/>
    <w:rsid w:val="1219663F"/>
    <w:rsid w:val="121C2E46"/>
    <w:rsid w:val="122042C9"/>
    <w:rsid w:val="12260229"/>
    <w:rsid w:val="122A1075"/>
    <w:rsid w:val="122F07E2"/>
    <w:rsid w:val="123029BC"/>
    <w:rsid w:val="123A2F95"/>
    <w:rsid w:val="12471B8F"/>
    <w:rsid w:val="1253641D"/>
    <w:rsid w:val="125423B2"/>
    <w:rsid w:val="125943EC"/>
    <w:rsid w:val="125C6285"/>
    <w:rsid w:val="125F6DB3"/>
    <w:rsid w:val="12887761"/>
    <w:rsid w:val="128B0E21"/>
    <w:rsid w:val="128D1D6B"/>
    <w:rsid w:val="12A34DF2"/>
    <w:rsid w:val="12A40F98"/>
    <w:rsid w:val="12B02035"/>
    <w:rsid w:val="12B06015"/>
    <w:rsid w:val="12B729FE"/>
    <w:rsid w:val="12C80206"/>
    <w:rsid w:val="12D0098B"/>
    <w:rsid w:val="12DB750C"/>
    <w:rsid w:val="12DC7261"/>
    <w:rsid w:val="12DE4DEE"/>
    <w:rsid w:val="12FD368C"/>
    <w:rsid w:val="12FF5637"/>
    <w:rsid w:val="130641EE"/>
    <w:rsid w:val="13083D49"/>
    <w:rsid w:val="13094AF6"/>
    <w:rsid w:val="130B1527"/>
    <w:rsid w:val="1312769F"/>
    <w:rsid w:val="1316525D"/>
    <w:rsid w:val="13184DA5"/>
    <w:rsid w:val="131C6E1F"/>
    <w:rsid w:val="13297454"/>
    <w:rsid w:val="133D5349"/>
    <w:rsid w:val="134428A9"/>
    <w:rsid w:val="134473DE"/>
    <w:rsid w:val="13532AE8"/>
    <w:rsid w:val="135B2067"/>
    <w:rsid w:val="13806FF7"/>
    <w:rsid w:val="13825C11"/>
    <w:rsid w:val="13851644"/>
    <w:rsid w:val="138F5CF0"/>
    <w:rsid w:val="138F74A5"/>
    <w:rsid w:val="13935EAB"/>
    <w:rsid w:val="13961EAE"/>
    <w:rsid w:val="139700CB"/>
    <w:rsid w:val="139D72BF"/>
    <w:rsid w:val="13AC69B7"/>
    <w:rsid w:val="13B02C53"/>
    <w:rsid w:val="13B2198A"/>
    <w:rsid w:val="13B93F8C"/>
    <w:rsid w:val="13BB37EC"/>
    <w:rsid w:val="13CF248D"/>
    <w:rsid w:val="13E05FAA"/>
    <w:rsid w:val="13ED2C6C"/>
    <w:rsid w:val="13F526CC"/>
    <w:rsid w:val="13F83651"/>
    <w:rsid w:val="14006D19"/>
    <w:rsid w:val="14011322"/>
    <w:rsid w:val="14021377"/>
    <w:rsid w:val="140554E8"/>
    <w:rsid w:val="1419602F"/>
    <w:rsid w:val="142F3D58"/>
    <w:rsid w:val="14343A95"/>
    <w:rsid w:val="143B75BD"/>
    <w:rsid w:val="143E0542"/>
    <w:rsid w:val="143E7CE9"/>
    <w:rsid w:val="144968D3"/>
    <w:rsid w:val="144D736D"/>
    <w:rsid w:val="145271E3"/>
    <w:rsid w:val="145F7CF8"/>
    <w:rsid w:val="14775DD6"/>
    <w:rsid w:val="1479421D"/>
    <w:rsid w:val="147F6DAD"/>
    <w:rsid w:val="1481754F"/>
    <w:rsid w:val="14825E5C"/>
    <w:rsid w:val="14887104"/>
    <w:rsid w:val="148A09F1"/>
    <w:rsid w:val="148C60C3"/>
    <w:rsid w:val="148E15C6"/>
    <w:rsid w:val="148F32AB"/>
    <w:rsid w:val="148F5721"/>
    <w:rsid w:val="148F7048"/>
    <w:rsid w:val="14AC57CD"/>
    <w:rsid w:val="14B738EF"/>
    <w:rsid w:val="14C57172"/>
    <w:rsid w:val="14C97023"/>
    <w:rsid w:val="14C97B45"/>
    <w:rsid w:val="14CA62B3"/>
    <w:rsid w:val="14CE1E8A"/>
    <w:rsid w:val="14D144FF"/>
    <w:rsid w:val="14E248D3"/>
    <w:rsid w:val="14E31122"/>
    <w:rsid w:val="14E44553"/>
    <w:rsid w:val="14E51FD5"/>
    <w:rsid w:val="14EE31A4"/>
    <w:rsid w:val="14F93614"/>
    <w:rsid w:val="14FC1BFA"/>
    <w:rsid w:val="15004221"/>
    <w:rsid w:val="1504288A"/>
    <w:rsid w:val="150A6991"/>
    <w:rsid w:val="151F1BB4"/>
    <w:rsid w:val="15253BE6"/>
    <w:rsid w:val="15353059"/>
    <w:rsid w:val="1537655C"/>
    <w:rsid w:val="1538782E"/>
    <w:rsid w:val="153D7F2D"/>
    <w:rsid w:val="154B0A80"/>
    <w:rsid w:val="154F5CF7"/>
    <w:rsid w:val="155428A0"/>
    <w:rsid w:val="15557D76"/>
    <w:rsid w:val="156222A6"/>
    <w:rsid w:val="15767345"/>
    <w:rsid w:val="157C3FB4"/>
    <w:rsid w:val="158F56D1"/>
    <w:rsid w:val="159D2C28"/>
    <w:rsid w:val="159F6E1C"/>
    <w:rsid w:val="15A22037"/>
    <w:rsid w:val="15AD52A1"/>
    <w:rsid w:val="15AE749F"/>
    <w:rsid w:val="15B249E7"/>
    <w:rsid w:val="15BA32B2"/>
    <w:rsid w:val="15BD50DF"/>
    <w:rsid w:val="15C27616"/>
    <w:rsid w:val="15C4558A"/>
    <w:rsid w:val="15C64B46"/>
    <w:rsid w:val="15C9134E"/>
    <w:rsid w:val="15CC20F0"/>
    <w:rsid w:val="15CD5DFC"/>
    <w:rsid w:val="15DF7929"/>
    <w:rsid w:val="15EA7E15"/>
    <w:rsid w:val="15ED3E9B"/>
    <w:rsid w:val="15F25971"/>
    <w:rsid w:val="160864F8"/>
    <w:rsid w:val="160F133F"/>
    <w:rsid w:val="161B298B"/>
    <w:rsid w:val="16232D5C"/>
    <w:rsid w:val="162D57EF"/>
    <w:rsid w:val="162E5A31"/>
    <w:rsid w:val="162E6AF4"/>
    <w:rsid w:val="163E1906"/>
    <w:rsid w:val="164514BE"/>
    <w:rsid w:val="165178EA"/>
    <w:rsid w:val="16534086"/>
    <w:rsid w:val="166B2EA9"/>
    <w:rsid w:val="166E405A"/>
    <w:rsid w:val="167C6BF3"/>
    <w:rsid w:val="167E3D78"/>
    <w:rsid w:val="16875984"/>
    <w:rsid w:val="16911D6E"/>
    <w:rsid w:val="1692143E"/>
    <w:rsid w:val="16A301A2"/>
    <w:rsid w:val="16AF4AC3"/>
    <w:rsid w:val="16B03C03"/>
    <w:rsid w:val="16B90C56"/>
    <w:rsid w:val="16B953D3"/>
    <w:rsid w:val="16C67F6C"/>
    <w:rsid w:val="16D4089E"/>
    <w:rsid w:val="16D75882"/>
    <w:rsid w:val="16DE1EE1"/>
    <w:rsid w:val="16E06917"/>
    <w:rsid w:val="16E16597"/>
    <w:rsid w:val="16E73296"/>
    <w:rsid w:val="16EB2F88"/>
    <w:rsid w:val="16EF1130"/>
    <w:rsid w:val="16F5303A"/>
    <w:rsid w:val="16F94968"/>
    <w:rsid w:val="16FB7CA4"/>
    <w:rsid w:val="17021A07"/>
    <w:rsid w:val="170C35A6"/>
    <w:rsid w:val="170F06AA"/>
    <w:rsid w:val="17150482"/>
    <w:rsid w:val="171D4419"/>
    <w:rsid w:val="171D4EE1"/>
    <w:rsid w:val="17225508"/>
    <w:rsid w:val="17245068"/>
    <w:rsid w:val="172501AB"/>
    <w:rsid w:val="173906A7"/>
    <w:rsid w:val="173F6931"/>
    <w:rsid w:val="17494BCF"/>
    <w:rsid w:val="17507ED0"/>
    <w:rsid w:val="175C099D"/>
    <w:rsid w:val="175F4D5C"/>
    <w:rsid w:val="176B680F"/>
    <w:rsid w:val="176D30BC"/>
    <w:rsid w:val="176E7480"/>
    <w:rsid w:val="1779463B"/>
    <w:rsid w:val="177E3E97"/>
    <w:rsid w:val="1782289D"/>
    <w:rsid w:val="178B0E7C"/>
    <w:rsid w:val="178B572B"/>
    <w:rsid w:val="178D3DDA"/>
    <w:rsid w:val="178E1F33"/>
    <w:rsid w:val="17927D71"/>
    <w:rsid w:val="17952452"/>
    <w:rsid w:val="179C22E9"/>
    <w:rsid w:val="17A36655"/>
    <w:rsid w:val="17A6739A"/>
    <w:rsid w:val="17AD36D6"/>
    <w:rsid w:val="17B07FBC"/>
    <w:rsid w:val="17B51F07"/>
    <w:rsid w:val="17BF2702"/>
    <w:rsid w:val="17C00184"/>
    <w:rsid w:val="17CD54A1"/>
    <w:rsid w:val="17CF569F"/>
    <w:rsid w:val="17D02F25"/>
    <w:rsid w:val="17D71D1E"/>
    <w:rsid w:val="17DE3443"/>
    <w:rsid w:val="17E15EFC"/>
    <w:rsid w:val="17E206E8"/>
    <w:rsid w:val="17E52942"/>
    <w:rsid w:val="17ED1DCF"/>
    <w:rsid w:val="18027176"/>
    <w:rsid w:val="1807227C"/>
    <w:rsid w:val="18083DFB"/>
    <w:rsid w:val="18094488"/>
    <w:rsid w:val="180A6E32"/>
    <w:rsid w:val="1813505F"/>
    <w:rsid w:val="1815568F"/>
    <w:rsid w:val="18191B17"/>
    <w:rsid w:val="181D6874"/>
    <w:rsid w:val="181F0A62"/>
    <w:rsid w:val="18204145"/>
    <w:rsid w:val="1824372C"/>
    <w:rsid w:val="18267035"/>
    <w:rsid w:val="183F2CD2"/>
    <w:rsid w:val="1849373C"/>
    <w:rsid w:val="184D223E"/>
    <w:rsid w:val="1856157E"/>
    <w:rsid w:val="1856323E"/>
    <w:rsid w:val="186E6D83"/>
    <w:rsid w:val="18742FEA"/>
    <w:rsid w:val="188033F3"/>
    <w:rsid w:val="188624CB"/>
    <w:rsid w:val="188E2A36"/>
    <w:rsid w:val="18974964"/>
    <w:rsid w:val="18995FEE"/>
    <w:rsid w:val="189B47D1"/>
    <w:rsid w:val="189C3172"/>
    <w:rsid w:val="189E5F7F"/>
    <w:rsid w:val="18AF55E3"/>
    <w:rsid w:val="18B077E2"/>
    <w:rsid w:val="18B1519A"/>
    <w:rsid w:val="18B83CF9"/>
    <w:rsid w:val="18BA5E1D"/>
    <w:rsid w:val="18BE4F06"/>
    <w:rsid w:val="18C035AA"/>
    <w:rsid w:val="18CC73BC"/>
    <w:rsid w:val="18CD0507"/>
    <w:rsid w:val="18CD3C28"/>
    <w:rsid w:val="18CF66BB"/>
    <w:rsid w:val="18D574F4"/>
    <w:rsid w:val="18E67F66"/>
    <w:rsid w:val="18E83469"/>
    <w:rsid w:val="18F35864"/>
    <w:rsid w:val="18F36BA5"/>
    <w:rsid w:val="18F64A8A"/>
    <w:rsid w:val="18FE1D82"/>
    <w:rsid w:val="1901754C"/>
    <w:rsid w:val="1910603C"/>
    <w:rsid w:val="19191C06"/>
    <w:rsid w:val="192F6848"/>
    <w:rsid w:val="1936356E"/>
    <w:rsid w:val="19400B73"/>
    <w:rsid w:val="194F68C1"/>
    <w:rsid w:val="195D7D48"/>
    <w:rsid w:val="19794F57"/>
    <w:rsid w:val="19851E64"/>
    <w:rsid w:val="19886272"/>
    <w:rsid w:val="198C3F77"/>
    <w:rsid w:val="198F0B2D"/>
    <w:rsid w:val="1994791E"/>
    <w:rsid w:val="19952B52"/>
    <w:rsid w:val="199A54F1"/>
    <w:rsid w:val="19A10A1B"/>
    <w:rsid w:val="19AA0FA9"/>
    <w:rsid w:val="19BF34CD"/>
    <w:rsid w:val="19C27579"/>
    <w:rsid w:val="19C531F1"/>
    <w:rsid w:val="19E01339"/>
    <w:rsid w:val="19E11D69"/>
    <w:rsid w:val="19E860DA"/>
    <w:rsid w:val="19F67A53"/>
    <w:rsid w:val="1A065E3F"/>
    <w:rsid w:val="1A0A79ED"/>
    <w:rsid w:val="1A155461"/>
    <w:rsid w:val="1A166A42"/>
    <w:rsid w:val="1A1A5A79"/>
    <w:rsid w:val="1A1D67DD"/>
    <w:rsid w:val="1A2002D5"/>
    <w:rsid w:val="1A325A0A"/>
    <w:rsid w:val="1A360B8D"/>
    <w:rsid w:val="1A3B2E04"/>
    <w:rsid w:val="1A3C6319"/>
    <w:rsid w:val="1A41499F"/>
    <w:rsid w:val="1A4D6B0A"/>
    <w:rsid w:val="1A6E7552"/>
    <w:rsid w:val="1A721BD5"/>
    <w:rsid w:val="1A7D6DCB"/>
    <w:rsid w:val="1A833BC1"/>
    <w:rsid w:val="1A8C692E"/>
    <w:rsid w:val="1A914DBE"/>
    <w:rsid w:val="1AA468F5"/>
    <w:rsid w:val="1AA70601"/>
    <w:rsid w:val="1AA93651"/>
    <w:rsid w:val="1AAE7552"/>
    <w:rsid w:val="1AAF394D"/>
    <w:rsid w:val="1ABE55EE"/>
    <w:rsid w:val="1AC80779"/>
    <w:rsid w:val="1ACB4904"/>
    <w:rsid w:val="1ACD5CFE"/>
    <w:rsid w:val="1ACE5136"/>
    <w:rsid w:val="1AD01A1B"/>
    <w:rsid w:val="1AE5390A"/>
    <w:rsid w:val="1AF467F2"/>
    <w:rsid w:val="1B00735C"/>
    <w:rsid w:val="1B090DBC"/>
    <w:rsid w:val="1B132389"/>
    <w:rsid w:val="1B1B23DA"/>
    <w:rsid w:val="1B250D59"/>
    <w:rsid w:val="1B2C537A"/>
    <w:rsid w:val="1B2D36A3"/>
    <w:rsid w:val="1B341A3A"/>
    <w:rsid w:val="1B3B3CBE"/>
    <w:rsid w:val="1B4D0AE4"/>
    <w:rsid w:val="1B4D1A2C"/>
    <w:rsid w:val="1B574FB9"/>
    <w:rsid w:val="1B5A7C65"/>
    <w:rsid w:val="1B5D3ACF"/>
    <w:rsid w:val="1B61065A"/>
    <w:rsid w:val="1B610AFF"/>
    <w:rsid w:val="1B777005"/>
    <w:rsid w:val="1B83056C"/>
    <w:rsid w:val="1B8A61BD"/>
    <w:rsid w:val="1B8C14FC"/>
    <w:rsid w:val="1B965420"/>
    <w:rsid w:val="1B9759FC"/>
    <w:rsid w:val="1B9C1BA1"/>
    <w:rsid w:val="1BA106C1"/>
    <w:rsid w:val="1BA323E9"/>
    <w:rsid w:val="1BAF299A"/>
    <w:rsid w:val="1BB51FFA"/>
    <w:rsid w:val="1BB96698"/>
    <w:rsid w:val="1BBF3927"/>
    <w:rsid w:val="1BE54DE8"/>
    <w:rsid w:val="1BEC405F"/>
    <w:rsid w:val="1C04417F"/>
    <w:rsid w:val="1C175E5B"/>
    <w:rsid w:val="1C177B08"/>
    <w:rsid w:val="1C1A749C"/>
    <w:rsid w:val="1C1A7AA9"/>
    <w:rsid w:val="1C1D541C"/>
    <w:rsid w:val="1C1E3330"/>
    <w:rsid w:val="1C220F80"/>
    <w:rsid w:val="1C222020"/>
    <w:rsid w:val="1C304D03"/>
    <w:rsid w:val="1C363B56"/>
    <w:rsid w:val="1C386956"/>
    <w:rsid w:val="1C3A035E"/>
    <w:rsid w:val="1C3F69E4"/>
    <w:rsid w:val="1C41117A"/>
    <w:rsid w:val="1C413A7E"/>
    <w:rsid w:val="1C48599E"/>
    <w:rsid w:val="1C4B7D4A"/>
    <w:rsid w:val="1C502501"/>
    <w:rsid w:val="1C594AFC"/>
    <w:rsid w:val="1C5D0BA5"/>
    <w:rsid w:val="1C647732"/>
    <w:rsid w:val="1C754B81"/>
    <w:rsid w:val="1C7D77A4"/>
    <w:rsid w:val="1C827753"/>
    <w:rsid w:val="1C863B32"/>
    <w:rsid w:val="1C895B5E"/>
    <w:rsid w:val="1C8B48E5"/>
    <w:rsid w:val="1C8B5995"/>
    <w:rsid w:val="1C9001C6"/>
    <w:rsid w:val="1C900A6F"/>
    <w:rsid w:val="1C99052B"/>
    <w:rsid w:val="1C9A167C"/>
    <w:rsid w:val="1C9F691E"/>
    <w:rsid w:val="1CA25780"/>
    <w:rsid w:val="1CA46512"/>
    <w:rsid w:val="1CA86413"/>
    <w:rsid w:val="1CB42226"/>
    <w:rsid w:val="1CB87EB8"/>
    <w:rsid w:val="1CB90797"/>
    <w:rsid w:val="1CBA2101"/>
    <w:rsid w:val="1CBC1C20"/>
    <w:rsid w:val="1CC742E6"/>
    <w:rsid w:val="1CD47626"/>
    <w:rsid w:val="1CF120F2"/>
    <w:rsid w:val="1CF56512"/>
    <w:rsid w:val="1D0573D7"/>
    <w:rsid w:val="1D0927CD"/>
    <w:rsid w:val="1D134375"/>
    <w:rsid w:val="1D153DC4"/>
    <w:rsid w:val="1D170C45"/>
    <w:rsid w:val="1D1F2520"/>
    <w:rsid w:val="1D20042B"/>
    <w:rsid w:val="1D223E0B"/>
    <w:rsid w:val="1D290F49"/>
    <w:rsid w:val="1D2F1B6F"/>
    <w:rsid w:val="1D317C9F"/>
    <w:rsid w:val="1D556162"/>
    <w:rsid w:val="1D677336"/>
    <w:rsid w:val="1D712D8A"/>
    <w:rsid w:val="1D7D25B3"/>
    <w:rsid w:val="1D8D1F09"/>
    <w:rsid w:val="1D8F2E8D"/>
    <w:rsid w:val="1D962818"/>
    <w:rsid w:val="1DA55031"/>
    <w:rsid w:val="1DAA14B9"/>
    <w:rsid w:val="1DB26E14"/>
    <w:rsid w:val="1DD871C9"/>
    <w:rsid w:val="1DDD2F8D"/>
    <w:rsid w:val="1DDD518B"/>
    <w:rsid w:val="1DF26589"/>
    <w:rsid w:val="1DF42BB2"/>
    <w:rsid w:val="1E0458E9"/>
    <w:rsid w:val="1E091CFB"/>
    <w:rsid w:val="1E0D05D6"/>
    <w:rsid w:val="1E132F88"/>
    <w:rsid w:val="1E264686"/>
    <w:rsid w:val="1E2867E9"/>
    <w:rsid w:val="1E2F1D22"/>
    <w:rsid w:val="1E2F7C3C"/>
    <w:rsid w:val="1E3D599F"/>
    <w:rsid w:val="1E460846"/>
    <w:rsid w:val="1E573E01"/>
    <w:rsid w:val="1E6131E6"/>
    <w:rsid w:val="1E651BEC"/>
    <w:rsid w:val="1E6A142D"/>
    <w:rsid w:val="1E6B293B"/>
    <w:rsid w:val="1E7C624E"/>
    <w:rsid w:val="1E7F0A1A"/>
    <w:rsid w:val="1E80284A"/>
    <w:rsid w:val="1E803A9B"/>
    <w:rsid w:val="1E83119C"/>
    <w:rsid w:val="1E853F6F"/>
    <w:rsid w:val="1E8A6D7C"/>
    <w:rsid w:val="1E9062B3"/>
    <w:rsid w:val="1E942861"/>
    <w:rsid w:val="1E9C7B48"/>
    <w:rsid w:val="1E9C7BCC"/>
    <w:rsid w:val="1E9D068A"/>
    <w:rsid w:val="1EA72655"/>
    <w:rsid w:val="1EAE7811"/>
    <w:rsid w:val="1EB76D94"/>
    <w:rsid w:val="1EBB1865"/>
    <w:rsid w:val="1EC06DEC"/>
    <w:rsid w:val="1EC24504"/>
    <w:rsid w:val="1EC70A5A"/>
    <w:rsid w:val="1ECC1E3C"/>
    <w:rsid w:val="1ED53D9A"/>
    <w:rsid w:val="1ED861FA"/>
    <w:rsid w:val="1EDB2EB0"/>
    <w:rsid w:val="1EDD6FFC"/>
    <w:rsid w:val="1EDE5D79"/>
    <w:rsid w:val="1EE43684"/>
    <w:rsid w:val="1EEB54F0"/>
    <w:rsid w:val="1EED3918"/>
    <w:rsid w:val="1EF5204B"/>
    <w:rsid w:val="1EF70B86"/>
    <w:rsid w:val="1EF91970"/>
    <w:rsid w:val="1F0B13E0"/>
    <w:rsid w:val="1F111D05"/>
    <w:rsid w:val="1F14547E"/>
    <w:rsid w:val="1F1F101A"/>
    <w:rsid w:val="1F2302A1"/>
    <w:rsid w:val="1F3879C6"/>
    <w:rsid w:val="1F400656"/>
    <w:rsid w:val="1F4C4468"/>
    <w:rsid w:val="1F5C052B"/>
    <w:rsid w:val="1F611C06"/>
    <w:rsid w:val="1F657D6D"/>
    <w:rsid w:val="1F6D55FC"/>
    <w:rsid w:val="1F723FA7"/>
    <w:rsid w:val="1F7C71B6"/>
    <w:rsid w:val="1F804FA9"/>
    <w:rsid w:val="1F872FC8"/>
    <w:rsid w:val="1F8D1615"/>
    <w:rsid w:val="1F991D0F"/>
    <w:rsid w:val="1FA75A7B"/>
    <w:rsid w:val="1FAD5993"/>
    <w:rsid w:val="1FB2444B"/>
    <w:rsid w:val="1FB36033"/>
    <w:rsid w:val="1FC31B28"/>
    <w:rsid w:val="1FCD4855"/>
    <w:rsid w:val="1FD55D41"/>
    <w:rsid w:val="1FE07656"/>
    <w:rsid w:val="1FE836CA"/>
    <w:rsid w:val="1FEA4870"/>
    <w:rsid w:val="1FF37AF6"/>
    <w:rsid w:val="1FFB1323"/>
    <w:rsid w:val="200F7A29"/>
    <w:rsid w:val="20112787"/>
    <w:rsid w:val="201176A9"/>
    <w:rsid w:val="201264E0"/>
    <w:rsid w:val="201560AF"/>
    <w:rsid w:val="20170A20"/>
    <w:rsid w:val="201F504C"/>
    <w:rsid w:val="202253C5"/>
    <w:rsid w:val="20246BD4"/>
    <w:rsid w:val="20261A2A"/>
    <w:rsid w:val="202E2994"/>
    <w:rsid w:val="2034336D"/>
    <w:rsid w:val="20383044"/>
    <w:rsid w:val="203C06DD"/>
    <w:rsid w:val="20464834"/>
    <w:rsid w:val="205D36CC"/>
    <w:rsid w:val="206C2341"/>
    <w:rsid w:val="207726CD"/>
    <w:rsid w:val="207F09D0"/>
    <w:rsid w:val="208364FC"/>
    <w:rsid w:val="208953F9"/>
    <w:rsid w:val="208B24FF"/>
    <w:rsid w:val="2097232D"/>
    <w:rsid w:val="209D0FEA"/>
    <w:rsid w:val="209F39F9"/>
    <w:rsid w:val="20A21BF5"/>
    <w:rsid w:val="20A27392"/>
    <w:rsid w:val="20AC3352"/>
    <w:rsid w:val="20AC6231"/>
    <w:rsid w:val="20B35EED"/>
    <w:rsid w:val="20B423D9"/>
    <w:rsid w:val="20B67E37"/>
    <w:rsid w:val="20BB20C0"/>
    <w:rsid w:val="20C0087A"/>
    <w:rsid w:val="20CA711C"/>
    <w:rsid w:val="20CC088F"/>
    <w:rsid w:val="20CD024C"/>
    <w:rsid w:val="20D77715"/>
    <w:rsid w:val="20E8359B"/>
    <w:rsid w:val="20ED5D93"/>
    <w:rsid w:val="20F06128"/>
    <w:rsid w:val="20F7371D"/>
    <w:rsid w:val="20FB092C"/>
    <w:rsid w:val="2100389E"/>
    <w:rsid w:val="21014C39"/>
    <w:rsid w:val="210C2B53"/>
    <w:rsid w:val="21116884"/>
    <w:rsid w:val="211749D8"/>
    <w:rsid w:val="211B070A"/>
    <w:rsid w:val="21225A33"/>
    <w:rsid w:val="21244EB1"/>
    <w:rsid w:val="212A47D0"/>
    <w:rsid w:val="212F207F"/>
    <w:rsid w:val="213154ED"/>
    <w:rsid w:val="213964D8"/>
    <w:rsid w:val="213F4E3D"/>
    <w:rsid w:val="21590705"/>
    <w:rsid w:val="21595D04"/>
    <w:rsid w:val="216043C0"/>
    <w:rsid w:val="216060D1"/>
    <w:rsid w:val="21805734"/>
    <w:rsid w:val="218E4FF0"/>
    <w:rsid w:val="21900E1F"/>
    <w:rsid w:val="219342A7"/>
    <w:rsid w:val="21AC29DE"/>
    <w:rsid w:val="21AE2BAE"/>
    <w:rsid w:val="21B42705"/>
    <w:rsid w:val="21BA2A3F"/>
    <w:rsid w:val="21C02F32"/>
    <w:rsid w:val="21C06B56"/>
    <w:rsid w:val="21C21892"/>
    <w:rsid w:val="21D74EED"/>
    <w:rsid w:val="21DD63A5"/>
    <w:rsid w:val="21E4036A"/>
    <w:rsid w:val="21F13629"/>
    <w:rsid w:val="21FA3176"/>
    <w:rsid w:val="21FC3606"/>
    <w:rsid w:val="2202535E"/>
    <w:rsid w:val="2208232E"/>
    <w:rsid w:val="220D1A6D"/>
    <w:rsid w:val="220F258C"/>
    <w:rsid w:val="221658E3"/>
    <w:rsid w:val="2217457B"/>
    <w:rsid w:val="222264CF"/>
    <w:rsid w:val="222E1FA2"/>
    <w:rsid w:val="223204D3"/>
    <w:rsid w:val="22322E8D"/>
    <w:rsid w:val="223236B6"/>
    <w:rsid w:val="22387A21"/>
    <w:rsid w:val="223973AB"/>
    <w:rsid w:val="224270A3"/>
    <w:rsid w:val="224540FE"/>
    <w:rsid w:val="2255462C"/>
    <w:rsid w:val="226C003E"/>
    <w:rsid w:val="227966F3"/>
    <w:rsid w:val="227A3DB8"/>
    <w:rsid w:val="2284103E"/>
    <w:rsid w:val="228B4BC5"/>
    <w:rsid w:val="228C650C"/>
    <w:rsid w:val="229A12D1"/>
    <w:rsid w:val="229B6D53"/>
    <w:rsid w:val="229E5428"/>
    <w:rsid w:val="22A763E9"/>
    <w:rsid w:val="22A77AE7"/>
    <w:rsid w:val="22B31D06"/>
    <w:rsid w:val="22C1203C"/>
    <w:rsid w:val="22CD6533"/>
    <w:rsid w:val="22D3417A"/>
    <w:rsid w:val="22D446DA"/>
    <w:rsid w:val="22DD23CC"/>
    <w:rsid w:val="22DF6543"/>
    <w:rsid w:val="22E826D5"/>
    <w:rsid w:val="22ED6B5D"/>
    <w:rsid w:val="22F11CE0"/>
    <w:rsid w:val="22F27762"/>
    <w:rsid w:val="22F705CF"/>
    <w:rsid w:val="22F779CA"/>
    <w:rsid w:val="23034FFC"/>
    <w:rsid w:val="2305377E"/>
    <w:rsid w:val="23085188"/>
    <w:rsid w:val="230C0884"/>
    <w:rsid w:val="23140F9B"/>
    <w:rsid w:val="23225D32"/>
    <w:rsid w:val="23233DDE"/>
    <w:rsid w:val="232D7DCE"/>
    <w:rsid w:val="23314593"/>
    <w:rsid w:val="233B2CEF"/>
    <w:rsid w:val="233E36E5"/>
    <w:rsid w:val="233F0132"/>
    <w:rsid w:val="23412115"/>
    <w:rsid w:val="23456C25"/>
    <w:rsid w:val="23533210"/>
    <w:rsid w:val="23593C8D"/>
    <w:rsid w:val="235F2314"/>
    <w:rsid w:val="2361109A"/>
    <w:rsid w:val="23640908"/>
    <w:rsid w:val="2366675F"/>
    <w:rsid w:val="2372455C"/>
    <w:rsid w:val="23727D1E"/>
    <w:rsid w:val="23741C9C"/>
    <w:rsid w:val="238210A1"/>
    <w:rsid w:val="23841714"/>
    <w:rsid w:val="23901822"/>
    <w:rsid w:val="23A0500A"/>
    <w:rsid w:val="23A35A46"/>
    <w:rsid w:val="23A87B77"/>
    <w:rsid w:val="23AA3139"/>
    <w:rsid w:val="23B50C89"/>
    <w:rsid w:val="23B7280F"/>
    <w:rsid w:val="23B82995"/>
    <w:rsid w:val="23B87BA4"/>
    <w:rsid w:val="23BE5BB1"/>
    <w:rsid w:val="23C25148"/>
    <w:rsid w:val="23C60214"/>
    <w:rsid w:val="23C97B76"/>
    <w:rsid w:val="23CC1D0F"/>
    <w:rsid w:val="23CC2948"/>
    <w:rsid w:val="23E22E51"/>
    <w:rsid w:val="23EB31FD"/>
    <w:rsid w:val="23F30609"/>
    <w:rsid w:val="24122135"/>
    <w:rsid w:val="24150802"/>
    <w:rsid w:val="2415665F"/>
    <w:rsid w:val="24173588"/>
    <w:rsid w:val="241B04C9"/>
    <w:rsid w:val="241E5760"/>
    <w:rsid w:val="241F5B18"/>
    <w:rsid w:val="243F4E10"/>
    <w:rsid w:val="244B6E09"/>
    <w:rsid w:val="24503A9B"/>
    <w:rsid w:val="245575B9"/>
    <w:rsid w:val="245668CE"/>
    <w:rsid w:val="24674894"/>
    <w:rsid w:val="246C4D16"/>
    <w:rsid w:val="246D6EF7"/>
    <w:rsid w:val="24716CD9"/>
    <w:rsid w:val="24753161"/>
    <w:rsid w:val="247E5B9E"/>
    <w:rsid w:val="248562CB"/>
    <w:rsid w:val="24870E7D"/>
    <w:rsid w:val="248A7203"/>
    <w:rsid w:val="248F0EC7"/>
    <w:rsid w:val="2493423A"/>
    <w:rsid w:val="249A1973"/>
    <w:rsid w:val="249A3081"/>
    <w:rsid w:val="249D7C09"/>
    <w:rsid w:val="24B05176"/>
    <w:rsid w:val="24B75312"/>
    <w:rsid w:val="24C024BF"/>
    <w:rsid w:val="24C20CDB"/>
    <w:rsid w:val="24CB6919"/>
    <w:rsid w:val="24D02A34"/>
    <w:rsid w:val="24D4257E"/>
    <w:rsid w:val="24E07603"/>
    <w:rsid w:val="24E53D16"/>
    <w:rsid w:val="24E60E96"/>
    <w:rsid w:val="24E64719"/>
    <w:rsid w:val="24E87750"/>
    <w:rsid w:val="24F341DD"/>
    <w:rsid w:val="250039A6"/>
    <w:rsid w:val="250174C1"/>
    <w:rsid w:val="25093808"/>
    <w:rsid w:val="2511326E"/>
    <w:rsid w:val="251903EC"/>
    <w:rsid w:val="2524677D"/>
    <w:rsid w:val="252975B3"/>
    <w:rsid w:val="25345F10"/>
    <w:rsid w:val="25457F06"/>
    <w:rsid w:val="25465A38"/>
    <w:rsid w:val="254734B9"/>
    <w:rsid w:val="255E30DE"/>
    <w:rsid w:val="2572202B"/>
    <w:rsid w:val="258E1126"/>
    <w:rsid w:val="2593425B"/>
    <w:rsid w:val="25A1633C"/>
    <w:rsid w:val="25A50377"/>
    <w:rsid w:val="25AF4EDF"/>
    <w:rsid w:val="25B21FCD"/>
    <w:rsid w:val="25B96C70"/>
    <w:rsid w:val="25BA7AF4"/>
    <w:rsid w:val="25BE1664"/>
    <w:rsid w:val="25C057A4"/>
    <w:rsid w:val="25C23B53"/>
    <w:rsid w:val="25CD7645"/>
    <w:rsid w:val="25D71E5D"/>
    <w:rsid w:val="25DA4F02"/>
    <w:rsid w:val="25DB4156"/>
    <w:rsid w:val="25F1728B"/>
    <w:rsid w:val="25F7715A"/>
    <w:rsid w:val="25FC6554"/>
    <w:rsid w:val="2605683C"/>
    <w:rsid w:val="260B6A7A"/>
    <w:rsid w:val="26234EB0"/>
    <w:rsid w:val="262B432C"/>
    <w:rsid w:val="26307BB3"/>
    <w:rsid w:val="26385F45"/>
    <w:rsid w:val="263B17EF"/>
    <w:rsid w:val="263B5A2D"/>
    <w:rsid w:val="263F23CC"/>
    <w:rsid w:val="26480ADD"/>
    <w:rsid w:val="26603B12"/>
    <w:rsid w:val="267F61D2"/>
    <w:rsid w:val="26841699"/>
    <w:rsid w:val="26891709"/>
    <w:rsid w:val="26892157"/>
    <w:rsid w:val="268B6FC8"/>
    <w:rsid w:val="268C18C8"/>
    <w:rsid w:val="268C2B28"/>
    <w:rsid w:val="268E1EDE"/>
    <w:rsid w:val="26917CE7"/>
    <w:rsid w:val="26940BB8"/>
    <w:rsid w:val="26B5676D"/>
    <w:rsid w:val="26B74C23"/>
    <w:rsid w:val="26B96F87"/>
    <w:rsid w:val="26BB1419"/>
    <w:rsid w:val="26CE5995"/>
    <w:rsid w:val="26D85415"/>
    <w:rsid w:val="26DE3012"/>
    <w:rsid w:val="26EB48D1"/>
    <w:rsid w:val="26F029A6"/>
    <w:rsid w:val="26F07FF2"/>
    <w:rsid w:val="26FA0901"/>
    <w:rsid w:val="26FB0C99"/>
    <w:rsid w:val="26FD1886"/>
    <w:rsid w:val="270B1314"/>
    <w:rsid w:val="270B2D9A"/>
    <w:rsid w:val="27107511"/>
    <w:rsid w:val="273C2FCF"/>
    <w:rsid w:val="273C6E35"/>
    <w:rsid w:val="273E4F70"/>
    <w:rsid w:val="273E6EAF"/>
    <w:rsid w:val="2741059E"/>
    <w:rsid w:val="27461A28"/>
    <w:rsid w:val="274A7DF7"/>
    <w:rsid w:val="276032C4"/>
    <w:rsid w:val="277124DF"/>
    <w:rsid w:val="2781195F"/>
    <w:rsid w:val="278A6DCB"/>
    <w:rsid w:val="278C3EB8"/>
    <w:rsid w:val="278E5420"/>
    <w:rsid w:val="278F4058"/>
    <w:rsid w:val="27982EAB"/>
    <w:rsid w:val="27991704"/>
    <w:rsid w:val="279C2669"/>
    <w:rsid w:val="279D76B2"/>
    <w:rsid w:val="27A01B48"/>
    <w:rsid w:val="27A14592"/>
    <w:rsid w:val="27A72D07"/>
    <w:rsid w:val="27B26AD3"/>
    <w:rsid w:val="27B748AA"/>
    <w:rsid w:val="27BA2B3F"/>
    <w:rsid w:val="27C01774"/>
    <w:rsid w:val="27C67CC3"/>
    <w:rsid w:val="27CB4CB9"/>
    <w:rsid w:val="27CF1700"/>
    <w:rsid w:val="27D508EE"/>
    <w:rsid w:val="27D74A6C"/>
    <w:rsid w:val="27EA3C4C"/>
    <w:rsid w:val="27F5401C"/>
    <w:rsid w:val="27F7751F"/>
    <w:rsid w:val="27FF320F"/>
    <w:rsid w:val="281C2F58"/>
    <w:rsid w:val="281E56A5"/>
    <w:rsid w:val="28213AAB"/>
    <w:rsid w:val="28225752"/>
    <w:rsid w:val="28236AF4"/>
    <w:rsid w:val="282412E8"/>
    <w:rsid w:val="28267AC9"/>
    <w:rsid w:val="282B4CD3"/>
    <w:rsid w:val="283619B3"/>
    <w:rsid w:val="283622D5"/>
    <w:rsid w:val="284C4A2B"/>
    <w:rsid w:val="285862BF"/>
    <w:rsid w:val="2874236C"/>
    <w:rsid w:val="2881222E"/>
    <w:rsid w:val="28817483"/>
    <w:rsid w:val="288750C4"/>
    <w:rsid w:val="288E50E9"/>
    <w:rsid w:val="289A1B82"/>
    <w:rsid w:val="289A2137"/>
    <w:rsid w:val="289C5AAF"/>
    <w:rsid w:val="28A066CA"/>
    <w:rsid w:val="28A831A8"/>
    <w:rsid w:val="28A9727E"/>
    <w:rsid w:val="28AC24C6"/>
    <w:rsid w:val="28AE124C"/>
    <w:rsid w:val="28BD5FE3"/>
    <w:rsid w:val="28C21ED5"/>
    <w:rsid w:val="28CD1B01"/>
    <w:rsid w:val="28E16F0F"/>
    <w:rsid w:val="28ED0E6B"/>
    <w:rsid w:val="28F803C7"/>
    <w:rsid w:val="28FC52BC"/>
    <w:rsid w:val="28FC6DCD"/>
    <w:rsid w:val="28FD484F"/>
    <w:rsid w:val="28FE6A4D"/>
    <w:rsid w:val="29031665"/>
    <w:rsid w:val="290872A8"/>
    <w:rsid w:val="290F4769"/>
    <w:rsid w:val="29117C6C"/>
    <w:rsid w:val="29140BF0"/>
    <w:rsid w:val="291907AC"/>
    <w:rsid w:val="29241954"/>
    <w:rsid w:val="292570BF"/>
    <w:rsid w:val="293A5427"/>
    <w:rsid w:val="29423CBE"/>
    <w:rsid w:val="29431FF9"/>
    <w:rsid w:val="2957148B"/>
    <w:rsid w:val="295900F2"/>
    <w:rsid w:val="29642C4B"/>
    <w:rsid w:val="296479C4"/>
    <w:rsid w:val="296F5C26"/>
    <w:rsid w:val="29713E4E"/>
    <w:rsid w:val="29753089"/>
    <w:rsid w:val="297536EC"/>
    <w:rsid w:val="297A3E18"/>
    <w:rsid w:val="297C053E"/>
    <w:rsid w:val="297F37FA"/>
    <w:rsid w:val="298A05DE"/>
    <w:rsid w:val="298E5A74"/>
    <w:rsid w:val="299B7242"/>
    <w:rsid w:val="29A254E4"/>
    <w:rsid w:val="29A53D63"/>
    <w:rsid w:val="29A719C6"/>
    <w:rsid w:val="29B02267"/>
    <w:rsid w:val="29B24645"/>
    <w:rsid w:val="29B42A2D"/>
    <w:rsid w:val="29B6583A"/>
    <w:rsid w:val="29BA796F"/>
    <w:rsid w:val="29CB2E15"/>
    <w:rsid w:val="29CD0532"/>
    <w:rsid w:val="29D02F9C"/>
    <w:rsid w:val="29DF73C0"/>
    <w:rsid w:val="29E15FE8"/>
    <w:rsid w:val="29E93872"/>
    <w:rsid w:val="29FC463C"/>
    <w:rsid w:val="2A021053"/>
    <w:rsid w:val="2A075092"/>
    <w:rsid w:val="2A156225"/>
    <w:rsid w:val="2A2C4D44"/>
    <w:rsid w:val="2A2E6158"/>
    <w:rsid w:val="2A34628C"/>
    <w:rsid w:val="2A372CB5"/>
    <w:rsid w:val="2A382855"/>
    <w:rsid w:val="2A5679E9"/>
    <w:rsid w:val="2A5A0EB5"/>
    <w:rsid w:val="2A621B97"/>
    <w:rsid w:val="2A660B65"/>
    <w:rsid w:val="2A6A7F9D"/>
    <w:rsid w:val="2A724D05"/>
    <w:rsid w:val="2A7E505C"/>
    <w:rsid w:val="2A8C376B"/>
    <w:rsid w:val="2A8F53BC"/>
    <w:rsid w:val="2A8F6D15"/>
    <w:rsid w:val="2A9071E3"/>
    <w:rsid w:val="2A984FF3"/>
    <w:rsid w:val="2A9D2C76"/>
    <w:rsid w:val="2AA8488A"/>
    <w:rsid w:val="2AAB2335"/>
    <w:rsid w:val="2AB71A18"/>
    <w:rsid w:val="2AC77529"/>
    <w:rsid w:val="2AC85686"/>
    <w:rsid w:val="2AD04B5F"/>
    <w:rsid w:val="2AD134D0"/>
    <w:rsid w:val="2AD16814"/>
    <w:rsid w:val="2AD17C4D"/>
    <w:rsid w:val="2AD75410"/>
    <w:rsid w:val="2ADE10CD"/>
    <w:rsid w:val="2AF24FD3"/>
    <w:rsid w:val="2B0F5533"/>
    <w:rsid w:val="2B136D58"/>
    <w:rsid w:val="2B37440B"/>
    <w:rsid w:val="2B3D5BF4"/>
    <w:rsid w:val="2B4106D8"/>
    <w:rsid w:val="2B455A0D"/>
    <w:rsid w:val="2B47035A"/>
    <w:rsid w:val="2B482CB4"/>
    <w:rsid w:val="2B4A4093"/>
    <w:rsid w:val="2B5600F7"/>
    <w:rsid w:val="2B561D78"/>
    <w:rsid w:val="2B620161"/>
    <w:rsid w:val="2B621401"/>
    <w:rsid w:val="2B7358C9"/>
    <w:rsid w:val="2B7661DC"/>
    <w:rsid w:val="2B791372"/>
    <w:rsid w:val="2B7C6042"/>
    <w:rsid w:val="2B8A75BD"/>
    <w:rsid w:val="2B9E24A6"/>
    <w:rsid w:val="2BA70074"/>
    <w:rsid w:val="2BAE1BB9"/>
    <w:rsid w:val="2BAF1D83"/>
    <w:rsid w:val="2BBA7F73"/>
    <w:rsid w:val="2BC05B2C"/>
    <w:rsid w:val="2BC20F50"/>
    <w:rsid w:val="2BCD6BEB"/>
    <w:rsid w:val="2BD155F1"/>
    <w:rsid w:val="2BD319CC"/>
    <w:rsid w:val="2BD617C5"/>
    <w:rsid w:val="2BD829FE"/>
    <w:rsid w:val="2BDF6B05"/>
    <w:rsid w:val="2BE04587"/>
    <w:rsid w:val="2BE71B7A"/>
    <w:rsid w:val="2BEF1614"/>
    <w:rsid w:val="2BFE4AAC"/>
    <w:rsid w:val="2C0B5689"/>
    <w:rsid w:val="2C0C3DBC"/>
    <w:rsid w:val="2C112837"/>
    <w:rsid w:val="2C1A16F9"/>
    <w:rsid w:val="2C22785F"/>
    <w:rsid w:val="2C2A6F85"/>
    <w:rsid w:val="2C2C358E"/>
    <w:rsid w:val="2C2D4686"/>
    <w:rsid w:val="2C2E197F"/>
    <w:rsid w:val="2C344011"/>
    <w:rsid w:val="2C466AA1"/>
    <w:rsid w:val="2C4677AE"/>
    <w:rsid w:val="2C557E09"/>
    <w:rsid w:val="2C566767"/>
    <w:rsid w:val="2C5D1885"/>
    <w:rsid w:val="2C5E2824"/>
    <w:rsid w:val="2C6A7D48"/>
    <w:rsid w:val="2C6D0F75"/>
    <w:rsid w:val="2C7A0008"/>
    <w:rsid w:val="2C7E6A0F"/>
    <w:rsid w:val="2C8139BA"/>
    <w:rsid w:val="2C8D6F68"/>
    <w:rsid w:val="2C910453"/>
    <w:rsid w:val="2C974249"/>
    <w:rsid w:val="2C9B1252"/>
    <w:rsid w:val="2C9C2786"/>
    <w:rsid w:val="2C9E7C7C"/>
    <w:rsid w:val="2CA2349F"/>
    <w:rsid w:val="2CB40C39"/>
    <w:rsid w:val="2CB7002B"/>
    <w:rsid w:val="2CC13667"/>
    <w:rsid w:val="2CD418C9"/>
    <w:rsid w:val="2CD86DED"/>
    <w:rsid w:val="2CDA6BBA"/>
    <w:rsid w:val="2CE45BD0"/>
    <w:rsid w:val="2CEE6CC2"/>
    <w:rsid w:val="2D1026FA"/>
    <w:rsid w:val="2D1E5293"/>
    <w:rsid w:val="2D200BA4"/>
    <w:rsid w:val="2D276581"/>
    <w:rsid w:val="2D3153EA"/>
    <w:rsid w:val="2D337631"/>
    <w:rsid w:val="2D386FEE"/>
    <w:rsid w:val="2D3C627C"/>
    <w:rsid w:val="2D40460F"/>
    <w:rsid w:val="2D4E0464"/>
    <w:rsid w:val="2D541EEA"/>
    <w:rsid w:val="2D631447"/>
    <w:rsid w:val="2D6A7911"/>
    <w:rsid w:val="2D814BB2"/>
    <w:rsid w:val="2D815E39"/>
    <w:rsid w:val="2D8C591B"/>
    <w:rsid w:val="2D8E0DCA"/>
    <w:rsid w:val="2D964DE9"/>
    <w:rsid w:val="2D965677"/>
    <w:rsid w:val="2D9B1650"/>
    <w:rsid w:val="2D9F6AE6"/>
    <w:rsid w:val="2DA00CDE"/>
    <w:rsid w:val="2DAA06FA"/>
    <w:rsid w:val="2DB23588"/>
    <w:rsid w:val="2DB60D14"/>
    <w:rsid w:val="2DB85492"/>
    <w:rsid w:val="2DC615EA"/>
    <w:rsid w:val="2DD05F26"/>
    <w:rsid w:val="2DDB0EC9"/>
    <w:rsid w:val="2DE06617"/>
    <w:rsid w:val="2DE51F61"/>
    <w:rsid w:val="2DE64CDC"/>
    <w:rsid w:val="2DED0FC4"/>
    <w:rsid w:val="2DF2692F"/>
    <w:rsid w:val="2DFA4E9E"/>
    <w:rsid w:val="2E01302A"/>
    <w:rsid w:val="2E014790"/>
    <w:rsid w:val="2E08402D"/>
    <w:rsid w:val="2E093F97"/>
    <w:rsid w:val="2E0D6915"/>
    <w:rsid w:val="2E1021FF"/>
    <w:rsid w:val="2E117A38"/>
    <w:rsid w:val="2E1F613B"/>
    <w:rsid w:val="2E200339"/>
    <w:rsid w:val="2E204634"/>
    <w:rsid w:val="2E3429CF"/>
    <w:rsid w:val="2E3A3A6A"/>
    <w:rsid w:val="2E3C46CC"/>
    <w:rsid w:val="2E496E6E"/>
    <w:rsid w:val="2E4C7F04"/>
    <w:rsid w:val="2E506CC6"/>
    <w:rsid w:val="2E5C4A5C"/>
    <w:rsid w:val="2E601123"/>
    <w:rsid w:val="2E6336F3"/>
    <w:rsid w:val="2E6A7558"/>
    <w:rsid w:val="2E751753"/>
    <w:rsid w:val="2E8E096D"/>
    <w:rsid w:val="2E930E04"/>
    <w:rsid w:val="2E960D92"/>
    <w:rsid w:val="2E973A8A"/>
    <w:rsid w:val="2EAD693A"/>
    <w:rsid w:val="2EAE1413"/>
    <w:rsid w:val="2EAE1DA5"/>
    <w:rsid w:val="2EAF79E1"/>
    <w:rsid w:val="2EB17C28"/>
    <w:rsid w:val="2EB30BAD"/>
    <w:rsid w:val="2EBA0FB6"/>
    <w:rsid w:val="2EC34E1C"/>
    <w:rsid w:val="2EC35C05"/>
    <w:rsid w:val="2EC47B37"/>
    <w:rsid w:val="2ED96DC0"/>
    <w:rsid w:val="2EDB4761"/>
    <w:rsid w:val="2EDE5BBC"/>
    <w:rsid w:val="2EE20F0A"/>
    <w:rsid w:val="2EE360DB"/>
    <w:rsid w:val="2EE72300"/>
    <w:rsid w:val="2EE77680"/>
    <w:rsid w:val="2EE85384"/>
    <w:rsid w:val="2EF00A12"/>
    <w:rsid w:val="2EF05832"/>
    <w:rsid w:val="2EF850E2"/>
    <w:rsid w:val="2F0261AD"/>
    <w:rsid w:val="2F0625C2"/>
    <w:rsid w:val="2F0F0E76"/>
    <w:rsid w:val="2F104BF6"/>
    <w:rsid w:val="2F162C7E"/>
    <w:rsid w:val="2F1A26EE"/>
    <w:rsid w:val="2F1C5ED1"/>
    <w:rsid w:val="2F2111E1"/>
    <w:rsid w:val="2F26400E"/>
    <w:rsid w:val="2F290141"/>
    <w:rsid w:val="2F2B3D85"/>
    <w:rsid w:val="2F2F0FC8"/>
    <w:rsid w:val="2F353787"/>
    <w:rsid w:val="2F371BBC"/>
    <w:rsid w:val="2F3749A8"/>
    <w:rsid w:val="2F48361F"/>
    <w:rsid w:val="2F4A2072"/>
    <w:rsid w:val="2F5746D1"/>
    <w:rsid w:val="2F5E01FC"/>
    <w:rsid w:val="2F666452"/>
    <w:rsid w:val="2F777728"/>
    <w:rsid w:val="2F790BE8"/>
    <w:rsid w:val="2F7B6AA5"/>
    <w:rsid w:val="2F7C6B37"/>
    <w:rsid w:val="2F7E0DFE"/>
    <w:rsid w:val="2F892CAE"/>
    <w:rsid w:val="2FA622E2"/>
    <w:rsid w:val="2FA70460"/>
    <w:rsid w:val="2FB546EB"/>
    <w:rsid w:val="2FB616D4"/>
    <w:rsid w:val="2FB674D6"/>
    <w:rsid w:val="2FB70619"/>
    <w:rsid w:val="2FBF7DE5"/>
    <w:rsid w:val="2FCE00FB"/>
    <w:rsid w:val="2FCF47FC"/>
    <w:rsid w:val="2FD64F9B"/>
    <w:rsid w:val="2FE41C34"/>
    <w:rsid w:val="2FF16036"/>
    <w:rsid w:val="2FFE78CA"/>
    <w:rsid w:val="3008338E"/>
    <w:rsid w:val="30083A5D"/>
    <w:rsid w:val="3008740D"/>
    <w:rsid w:val="300F02EC"/>
    <w:rsid w:val="30126F25"/>
    <w:rsid w:val="30195EF5"/>
    <w:rsid w:val="301C6BB6"/>
    <w:rsid w:val="302951F8"/>
    <w:rsid w:val="30386AE6"/>
    <w:rsid w:val="3039422C"/>
    <w:rsid w:val="304F5D99"/>
    <w:rsid w:val="305016E5"/>
    <w:rsid w:val="305118D2"/>
    <w:rsid w:val="305527B3"/>
    <w:rsid w:val="30614AA9"/>
    <w:rsid w:val="30673D38"/>
    <w:rsid w:val="307E5C47"/>
    <w:rsid w:val="308B0627"/>
    <w:rsid w:val="308C7F68"/>
    <w:rsid w:val="30A55BC4"/>
    <w:rsid w:val="30AC3966"/>
    <w:rsid w:val="30AF76EE"/>
    <w:rsid w:val="30B1280A"/>
    <w:rsid w:val="30C01337"/>
    <w:rsid w:val="30C8523D"/>
    <w:rsid w:val="30C9008F"/>
    <w:rsid w:val="30C93B1B"/>
    <w:rsid w:val="30DA1C24"/>
    <w:rsid w:val="30DD7B6B"/>
    <w:rsid w:val="30F35B99"/>
    <w:rsid w:val="30F73365"/>
    <w:rsid w:val="30FB236E"/>
    <w:rsid w:val="30FD2F0A"/>
    <w:rsid w:val="310B201E"/>
    <w:rsid w:val="310C014A"/>
    <w:rsid w:val="31116338"/>
    <w:rsid w:val="31160397"/>
    <w:rsid w:val="311960ED"/>
    <w:rsid w:val="311D3DF9"/>
    <w:rsid w:val="31216728"/>
    <w:rsid w:val="312A28E8"/>
    <w:rsid w:val="312D309B"/>
    <w:rsid w:val="31393632"/>
    <w:rsid w:val="313D0377"/>
    <w:rsid w:val="313F6F3B"/>
    <w:rsid w:val="31443807"/>
    <w:rsid w:val="314564AC"/>
    <w:rsid w:val="31592105"/>
    <w:rsid w:val="315C0741"/>
    <w:rsid w:val="31622A14"/>
    <w:rsid w:val="31630496"/>
    <w:rsid w:val="316D3DD0"/>
    <w:rsid w:val="316D5522"/>
    <w:rsid w:val="3176289F"/>
    <w:rsid w:val="319708F2"/>
    <w:rsid w:val="319747C2"/>
    <w:rsid w:val="3199182A"/>
    <w:rsid w:val="319C45A7"/>
    <w:rsid w:val="319C6071"/>
    <w:rsid w:val="31A21783"/>
    <w:rsid w:val="31A2530D"/>
    <w:rsid w:val="31A8260E"/>
    <w:rsid w:val="31AB78A1"/>
    <w:rsid w:val="31B14C9E"/>
    <w:rsid w:val="31B97BA0"/>
    <w:rsid w:val="31BC1BBB"/>
    <w:rsid w:val="31BE782D"/>
    <w:rsid w:val="31BF1AA9"/>
    <w:rsid w:val="31C34591"/>
    <w:rsid w:val="31CC2090"/>
    <w:rsid w:val="31CF69DC"/>
    <w:rsid w:val="31CF7002"/>
    <w:rsid w:val="31D81BDF"/>
    <w:rsid w:val="31D95ED6"/>
    <w:rsid w:val="31DD5420"/>
    <w:rsid w:val="31E7783E"/>
    <w:rsid w:val="31EB554E"/>
    <w:rsid w:val="31EB75D7"/>
    <w:rsid w:val="31F17A6E"/>
    <w:rsid w:val="31F30C92"/>
    <w:rsid w:val="31F37958"/>
    <w:rsid w:val="31F60C40"/>
    <w:rsid w:val="31F7164A"/>
    <w:rsid w:val="31F80989"/>
    <w:rsid w:val="320831A2"/>
    <w:rsid w:val="32103298"/>
    <w:rsid w:val="32184101"/>
    <w:rsid w:val="322E6825"/>
    <w:rsid w:val="323068E5"/>
    <w:rsid w:val="32314D0B"/>
    <w:rsid w:val="32421687"/>
    <w:rsid w:val="32431073"/>
    <w:rsid w:val="325E18AE"/>
    <w:rsid w:val="32692A60"/>
    <w:rsid w:val="326C03A4"/>
    <w:rsid w:val="327A39E4"/>
    <w:rsid w:val="327B56DF"/>
    <w:rsid w:val="327C0420"/>
    <w:rsid w:val="32940321"/>
    <w:rsid w:val="32987176"/>
    <w:rsid w:val="32990513"/>
    <w:rsid w:val="32AD1732"/>
    <w:rsid w:val="32AE46BE"/>
    <w:rsid w:val="32B86261"/>
    <w:rsid w:val="32BA2709"/>
    <w:rsid w:val="32BE5267"/>
    <w:rsid w:val="32C04CBB"/>
    <w:rsid w:val="32C11B02"/>
    <w:rsid w:val="32C8574C"/>
    <w:rsid w:val="32D257FE"/>
    <w:rsid w:val="32D41327"/>
    <w:rsid w:val="32DD556E"/>
    <w:rsid w:val="32E51378"/>
    <w:rsid w:val="32E72810"/>
    <w:rsid w:val="3306508F"/>
    <w:rsid w:val="330850D6"/>
    <w:rsid w:val="332B149D"/>
    <w:rsid w:val="33314601"/>
    <w:rsid w:val="3332427C"/>
    <w:rsid w:val="333E7D22"/>
    <w:rsid w:val="3340583D"/>
    <w:rsid w:val="335E31CF"/>
    <w:rsid w:val="336E4631"/>
    <w:rsid w:val="338A6577"/>
    <w:rsid w:val="33920385"/>
    <w:rsid w:val="33920ACE"/>
    <w:rsid w:val="33994CF5"/>
    <w:rsid w:val="33995EB7"/>
    <w:rsid w:val="339B60A7"/>
    <w:rsid w:val="33A1725B"/>
    <w:rsid w:val="33A67A04"/>
    <w:rsid w:val="33A77D15"/>
    <w:rsid w:val="33AB42C3"/>
    <w:rsid w:val="33AC70D6"/>
    <w:rsid w:val="33B146D9"/>
    <w:rsid w:val="33B5262F"/>
    <w:rsid w:val="33B8236E"/>
    <w:rsid w:val="33B9096A"/>
    <w:rsid w:val="33C522D7"/>
    <w:rsid w:val="33C90C05"/>
    <w:rsid w:val="33CC57B7"/>
    <w:rsid w:val="33CC6306"/>
    <w:rsid w:val="33D845AB"/>
    <w:rsid w:val="33E87093"/>
    <w:rsid w:val="33F113BC"/>
    <w:rsid w:val="33FB6E55"/>
    <w:rsid w:val="33FD5F3E"/>
    <w:rsid w:val="34034262"/>
    <w:rsid w:val="34073AF7"/>
    <w:rsid w:val="340F1379"/>
    <w:rsid w:val="341B2494"/>
    <w:rsid w:val="342C1CEA"/>
    <w:rsid w:val="343637B7"/>
    <w:rsid w:val="34383F34"/>
    <w:rsid w:val="34485E43"/>
    <w:rsid w:val="344C156B"/>
    <w:rsid w:val="344C5C41"/>
    <w:rsid w:val="34585E2A"/>
    <w:rsid w:val="345F028E"/>
    <w:rsid w:val="34653713"/>
    <w:rsid w:val="34682DFF"/>
    <w:rsid w:val="346C7B0F"/>
    <w:rsid w:val="346D4A29"/>
    <w:rsid w:val="34781CA2"/>
    <w:rsid w:val="34807672"/>
    <w:rsid w:val="34814B30"/>
    <w:rsid w:val="3488080A"/>
    <w:rsid w:val="348908FF"/>
    <w:rsid w:val="34890E71"/>
    <w:rsid w:val="348A543F"/>
    <w:rsid w:val="348B1831"/>
    <w:rsid w:val="349A7C58"/>
    <w:rsid w:val="349C065E"/>
    <w:rsid w:val="34A12C32"/>
    <w:rsid w:val="34AC70A4"/>
    <w:rsid w:val="34B21923"/>
    <w:rsid w:val="34C25528"/>
    <w:rsid w:val="34CC11DF"/>
    <w:rsid w:val="34CE4C2F"/>
    <w:rsid w:val="34D15BB4"/>
    <w:rsid w:val="34D41F3D"/>
    <w:rsid w:val="34D94F76"/>
    <w:rsid w:val="34EC149C"/>
    <w:rsid w:val="34F547A7"/>
    <w:rsid w:val="350B4A94"/>
    <w:rsid w:val="350D65F0"/>
    <w:rsid w:val="3511441F"/>
    <w:rsid w:val="352E1016"/>
    <w:rsid w:val="35301450"/>
    <w:rsid w:val="35462D4D"/>
    <w:rsid w:val="35492330"/>
    <w:rsid w:val="355931F7"/>
    <w:rsid w:val="355F7A4F"/>
    <w:rsid w:val="35644315"/>
    <w:rsid w:val="35646427"/>
    <w:rsid w:val="35712D5D"/>
    <w:rsid w:val="357850C8"/>
    <w:rsid w:val="35853CE3"/>
    <w:rsid w:val="35867971"/>
    <w:rsid w:val="358D0FD7"/>
    <w:rsid w:val="359D4003"/>
    <w:rsid w:val="35B06C6A"/>
    <w:rsid w:val="35B3078E"/>
    <w:rsid w:val="35B66242"/>
    <w:rsid w:val="35C06303"/>
    <w:rsid w:val="35C54989"/>
    <w:rsid w:val="35C73209"/>
    <w:rsid w:val="35CE0055"/>
    <w:rsid w:val="35D05A62"/>
    <w:rsid w:val="35D12CFE"/>
    <w:rsid w:val="35D15757"/>
    <w:rsid w:val="35EE4FC9"/>
    <w:rsid w:val="35F76384"/>
    <w:rsid w:val="3602087F"/>
    <w:rsid w:val="360F1887"/>
    <w:rsid w:val="36135031"/>
    <w:rsid w:val="361A26D3"/>
    <w:rsid w:val="3621689F"/>
    <w:rsid w:val="36316E1C"/>
    <w:rsid w:val="36344CC6"/>
    <w:rsid w:val="363650FE"/>
    <w:rsid w:val="363A1903"/>
    <w:rsid w:val="363A5F84"/>
    <w:rsid w:val="363D7B96"/>
    <w:rsid w:val="36400700"/>
    <w:rsid w:val="36453EFF"/>
    <w:rsid w:val="365A7C39"/>
    <w:rsid w:val="366149EB"/>
    <w:rsid w:val="36625046"/>
    <w:rsid w:val="36653A4C"/>
    <w:rsid w:val="36681122"/>
    <w:rsid w:val="367E009D"/>
    <w:rsid w:val="367E6B74"/>
    <w:rsid w:val="36826A43"/>
    <w:rsid w:val="3690253F"/>
    <w:rsid w:val="36923616"/>
    <w:rsid w:val="36941AA2"/>
    <w:rsid w:val="36962695"/>
    <w:rsid w:val="36B21D17"/>
    <w:rsid w:val="36B85C99"/>
    <w:rsid w:val="36D37423"/>
    <w:rsid w:val="36D76676"/>
    <w:rsid w:val="36DF04AC"/>
    <w:rsid w:val="36E04565"/>
    <w:rsid w:val="36E85B01"/>
    <w:rsid w:val="36EA3CA5"/>
    <w:rsid w:val="36EA5250"/>
    <w:rsid w:val="36ED4EA7"/>
    <w:rsid w:val="36EF5B29"/>
    <w:rsid w:val="36F16EB3"/>
    <w:rsid w:val="36FB0898"/>
    <w:rsid w:val="36FF5EBA"/>
    <w:rsid w:val="37095F4E"/>
    <w:rsid w:val="370A755C"/>
    <w:rsid w:val="37110D63"/>
    <w:rsid w:val="371B2276"/>
    <w:rsid w:val="37311A98"/>
    <w:rsid w:val="37321E9B"/>
    <w:rsid w:val="37350F4B"/>
    <w:rsid w:val="37353742"/>
    <w:rsid w:val="373D66F9"/>
    <w:rsid w:val="374146B4"/>
    <w:rsid w:val="37485207"/>
    <w:rsid w:val="374E17CB"/>
    <w:rsid w:val="37511C51"/>
    <w:rsid w:val="376F3EFE"/>
    <w:rsid w:val="3770781E"/>
    <w:rsid w:val="37787232"/>
    <w:rsid w:val="378309A0"/>
    <w:rsid w:val="378E0036"/>
    <w:rsid w:val="379D23F9"/>
    <w:rsid w:val="37A00595"/>
    <w:rsid w:val="37A911C6"/>
    <w:rsid w:val="37B10814"/>
    <w:rsid w:val="37BB1F70"/>
    <w:rsid w:val="37C5110A"/>
    <w:rsid w:val="37C95891"/>
    <w:rsid w:val="37CB4618"/>
    <w:rsid w:val="37E5630E"/>
    <w:rsid w:val="37EC3BB8"/>
    <w:rsid w:val="37F930DD"/>
    <w:rsid w:val="381D4A5A"/>
    <w:rsid w:val="382838DD"/>
    <w:rsid w:val="382C1247"/>
    <w:rsid w:val="383C5674"/>
    <w:rsid w:val="383C5BD0"/>
    <w:rsid w:val="384449DD"/>
    <w:rsid w:val="384F232D"/>
    <w:rsid w:val="385122F2"/>
    <w:rsid w:val="38526B5E"/>
    <w:rsid w:val="3857569F"/>
    <w:rsid w:val="385876FF"/>
    <w:rsid w:val="385E6666"/>
    <w:rsid w:val="38704D62"/>
    <w:rsid w:val="3874396E"/>
    <w:rsid w:val="38750761"/>
    <w:rsid w:val="388614C8"/>
    <w:rsid w:val="388732E0"/>
    <w:rsid w:val="388E28CE"/>
    <w:rsid w:val="38A80783"/>
    <w:rsid w:val="38B17BBF"/>
    <w:rsid w:val="38C522B1"/>
    <w:rsid w:val="38C8340A"/>
    <w:rsid w:val="38C962D0"/>
    <w:rsid w:val="38CE1966"/>
    <w:rsid w:val="38E66069"/>
    <w:rsid w:val="38EC25D9"/>
    <w:rsid w:val="38F378FD"/>
    <w:rsid w:val="38F75D24"/>
    <w:rsid w:val="39041477"/>
    <w:rsid w:val="3905523C"/>
    <w:rsid w:val="39153335"/>
    <w:rsid w:val="391B3B8E"/>
    <w:rsid w:val="391D02CF"/>
    <w:rsid w:val="391D7897"/>
    <w:rsid w:val="39242E04"/>
    <w:rsid w:val="39273DCB"/>
    <w:rsid w:val="39370C74"/>
    <w:rsid w:val="39377542"/>
    <w:rsid w:val="39392E17"/>
    <w:rsid w:val="393D7317"/>
    <w:rsid w:val="39413509"/>
    <w:rsid w:val="394E5CB5"/>
    <w:rsid w:val="39511366"/>
    <w:rsid w:val="395363B2"/>
    <w:rsid w:val="396C3D44"/>
    <w:rsid w:val="396C5791"/>
    <w:rsid w:val="397101CC"/>
    <w:rsid w:val="39926182"/>
    <w:rsid w:val="39941685"/>
    <w:rsid w:val="39941A81"/>
    <w:rsid w:val="39B83B24"/>
    <w:rsid w:val="39C16D65"/>
    <w:rsid w:val="39C60D36"/>
    <w:rsid w:val="39C87740"/>
    <w:rsid w:val="39D46BEB"/>
    <w:rsid w:val="39DD3C55"/>
    <w:rsid w:val="39E14C9C"/>
    <w:rsid w:val="39F52A1B"/>
    <w:rsid w:val="39F72D83"/>
    <w:rsid w:val="39F94C2D"/>
    <w:rsid w:val="3A083BC2"/>
    <w:rsid w:val="3A0879DA"/>
    <w:rsid w:val="3A16681E"/>
    <w:rsid w:val="3A185287"/>
    <w:rsid w:val="3A1A2BE3"/>
    <w:rsid w:val="3A1F46B8"/>
    <w:rsid w:val="3A2940F7"/>
    <w:rsid w:val="3A2B3978"/>
    <w:rsid w:val="3A2F3889"/>
    <w:rsid w:val="3A2F5E57"/>
    <w:rsid w:val="3A324A7B"/>
    <w:rsid w:val="3A362F18"/>
    <w:rsid w:val="3A476F2A"/>
    <w:rsid w:val="3A5F5FD4"/>
    <w:rsid w:val="3A640F7C"/>
    <w:rsid w:val="3A692CD0"/>
    <w:rsid w:val="3A706310"/>
    <w:rsid w:val="3A77356D"/>
    <w:rsid w:val="3A7856AC"/>
    <w:rsid w:val="3A7E0932"/>
    <w:rsid w:val="3A7F53CD"/>
    <w:rsid w:val="3A871F12"/>
    <w:rsid w:val="3A9A0F33"/>
    <w:rsid w:val="3A9A6056"/>
    <w:rsid w:val="3AA6202F"/>
    <w:rsid w:val="3AAE4AA7"/>
    <w:rsid w:val="3AB16085"/>
    <w:rsid w:val="3AB33379"/>
    <w:rsid w:val="3AC74CF1"/>
    <w:rsid w:val="3ACF6793"/>
    <w:rsid w:val="3AD35D23"/>
    <w:rsid w:val="3AD941DD"/>
    <w:rsid w:val="3ADB2196"/>
    <w:rsid w:val="3AE05E24"/>
    <w:rsid w:val="3AE138A5"/>
    <w:rsid w:val="3AF23299"/>
    <w:rsid w:val="3AF6384B"/>
    <w:rsid w:val="3AFA638A"/>
    <w:rsid w:val="3AFD4EC2"/>
    <w:rsid w:val="3B00415A"/>
    <w:rsid w:val="3B22382B"/>
    <w:rsid w:val="3B270929"/>
    <w:rsid w:val="3B322C87"/>
    <w:rsid w:val="3B350A3E"/>
    <w:rsid w:val="3B357D0D"/>
    <w:rsid w:val="3B3977B7"/>
    <w:rsid w:val="3B3B43F2"/>
    <w:rsid w:val="3B3D5571"/>
    <w:rsid w:val="3B410447"/>
    <w:rsid w:val="3B44206B"/>
    <w:rsid w:val="3B4B54D3"/>
    <w:rsid w:val="3B596D41"/>
    <w:rsid w:val="3B5F2062"/>
    <w:rsid w:val="3B673620"/>
    <w:rsid w:val="3B675718"/>
    <w:rsid w:val="3B700612"/>
    <w:rsid w:val="3B755220"/>
    <w:rsid w:val="3B8651FE"/>
    <w:rsid w:val="3B885B67"/>
    <w:rsid w:val="3B8B3ED9"/>
    <w:rsid w:val="3B941F57"/>
    <w:rsid w:val="3B980E56"/>
    <w:rsid w:val="3B9A0AD5"/>
    <w:rsid w:val="3B9A1F29"/>
    <w:rsid w:val="3B9B3FEF"/>
    <w:rsid w:val="3B9C0EAC"/>
    <w:rsid w:val="3BA23963"/>
    <w:rsid w:val="3BA331AE"/>
    <w:rsid w:val="3BA94728"/>
    <w:rsid w:val="3BB02C79"/>
    <w:rsid w:val="3BB5440F"/>
    <w:rsid w:val="3BB7141A"/>
    <w:rsid w:val="3BB750E9"/>
    <w:rsid w:val="3BBD05A5"/>
    <w:rsid w:val="3BBD6FDA"/>
    <w:rsid w:val="3BC05B96"/>
    <w:rsid w:val="3BC26AB2"/>
    <w:rsid w:val="3BCB73E9"/>
    <w:rsid w:val="3BF6321E"/>
    <w:rsid w:val="3BFA1A3E"/>
    <w:rsid w:val="3C0A7E90"/>
    <w:rsid w:val="3C0B53D0"/>
    <w:rsid w:val="3C0C09F7"/>
    <w:rsid w:val="3C0E4317"/>
    <w:rsid w:val="3C1A1957"/>
    <w:rsid w:val="3C1C040E"/>
    <w:rsid w:val="3C1D10AF"/>
    <w:rsid w:val="3C1E1159"/>
    <w:rsid w:val="3C2A4B41"/>
    <w:rsid w:val="3C2D1349"/>
    <w:rsid w:val="3C317D4F"/>
    <w:rsid w:val="3C373BE3"/>
    <w:rsid w:val="3C4810DA"/>
    <w:rsid w:val="3C4D7ECE"/>
    <w:rsid w:val="3C5062E7"/>
    <w:rsid w:val="3C593492"/>
    <w:rsid w:val="3C5B366D"/>
    <w:rsid w:val="3C6014F8"/>
    <w:rsid w:val="3C6C0684"/>
    <w:rsid w:val="3C6D68AF"/>
    <w:rsid w:val="3C6E311D"/>
    <w:rsid w:val="3C710B39"/>
    <w:rsid w:val="3C747961"/>
    <w:rsid w:val="3C761845"/>
    <w:rsid w:val="3C7A0904"/>
    <w:rsid w:val="3C810DD3"/>
    <w:rsid w:val="3C8368C4"/>
    <w:rsid w:val="3C8F78F1"/>
    <w:rsid w:val="3C915004"/>
    <w:rsid w:val="3C93773A"/>
    <w:rsid w:val="3CA8139B"/>
    <w:rsid w:val="3CAC21A2"/>
    <w:rsid w:val="3CBE5363"/>
    <w:rsid w:val="3CC7590A"/>
    <w:rsid w:val="3CD63010"/>
    <w:rsid w:val="3CE4646B"/>
    <w:rsid w:val="3CEE0E79"/>
    <w:rsid w:val="3CFC1228"/>
    <w:rsid w:val="3D015403"/>
    <w:rsid w:val="3D0164F7"/>
    <w:rsid w:val="3D0977BB"/>
    <w:rsid w:val="3D0B7F1D"/>
    <w:rsid w:val="3D1456E5"/>
    <w:rsid w:val="3D1E3F79"/>
    <w:rsid w:val="3D22095C"/>
    <w:rsid w:val="3D2250D9"/>
    <w:rsid w:val="3D3C6154"/>
    <w:rsid w:val="3D3F6C08"/>
    <w:rsid w:val="3D404689"/>
    <w:rsid w:val="3D487517"/>
    <w:rsid w:val="3D5C13E0"/>
    <w:rsid w:val="3D5E7AA8"/>
    <w:rsid w:val="3D600441"/>
    <w:rsid w:val="3D6D555F"/>
    <w:rsid w:val="3D6F2596"/>
    <w:rsid w:val="3D6F51D8"/>
    <w:rsid w:val="3D7516D7"/>
    <w:rsid w:val="3D830798"/>
    <w:rsid w:val="3D946587"/>
    <w:rsid w:val="3D9911E2"/>
    <w:rsid w:val="3DA4258C"/>
    <w:rsid w:val="3DA542CE"/>
    <w:rsid w:val="3DB755CD"/>
    <w:rsid w:val="3DC65BE7"/>
    <w:rsid w:val="3DE6611C"/>
    <w:rsid w:val="3DF52A92"/>
    <w:rsid w:val="3DF535E5"/>
    <w:rsid w:val="3DF56736"/>
    <w:rsid w:val="3DFC4E7F"/>
    <w:rsid w:val="3E017C86"/>
    <w:rsid w:val="3E027D33"/>
    <w:rsid w:val="3E095155"/>
    <w:rsid w:val="3E0C543F"/>
    <w:rsid w:val="3E142C5B"/>
    <w:rsid w:val="3E2B1695"/>
    <w:rsid w:val="3E342570"/>
    <w:rsid w:val="3E3826A3"/>
    <w:rsid w:val="3E386E20"/>
    <w:rsid w:val="3E392BDF"/>
    <w:rsid w:val="3E4343A8"/>
    <w:rsid w:val="3E49481B"/>
    <w:rsid w:val="3E4B7E2B"/>
    <w:rsid w:val="3E4C1343"/>
    <w:rsid w:val="3E4F0629"/>
    <w:rsid w:val="3E5B6B20"/>
    <w:rsid w:val="3E602562"/>
    <w:rsid w:val="3E631C77"/>
    <w:rsid w:val="3E643D97"/>
    <w:rsid w:val="3E661EED"/>
    <w:rsid w:val="3E66547B"/>
    <w:rsid w:val="3E677E6D"/>
    <w:rsid w:val="3E7F4A28"/>
    <w:rsid w:val="3E833A1C"/>
    <w:rsid w:val="3E8524F6"/>
    <w:rsid w:val="3E880526"/>
    <w:rsid w:val="3E8C4935"/>
    <w:rsid w:val="3E8F25D1"/>
    <w:rsid w:val="3E924036"/>
    <w:rsid w:val="3E9274F6"/>
    <w:rsid w:val="3EA4135A"/>
    <w:rsid w:val="3EA853BB"/>
    <w:rsid w:val="3EAA2FD4"/>
    <w:rsid w:val="3EBB1744"/>
    <w:rsid w:val="3EBB2C7C"/>
    <w:rsid w:val="3EBB73F9"/>
    <w:rsid w:val="3EBD1E5D"/>
    <w:rsid w:val="3EBF1682"/>
    <w:rsid w:val="3EBF533B"/>
    <w:rsid w:val="3EC164B6"/>
    <w:rsid w:val="3EC538B8"/>
    <w:rsid w:val="3EC57D08"/>
    <w:rsid w:val="3ECD719A"/>
    <w:rsid w:val="3EDC644D"/>
    <w:rsid w:val="3EDD2B69"/>
    <w:rsid w:val="3EEC2701"/>
    <w:rsid w:val="3EFA3D9C"/>
    <w:rsid w:val="3EFF0DE7"/>
    <w:rsid w:val="3F027924"/>
    <w:rsid w:val="3F2D4256"/>
    <w:rsid w:val="3F4A7535"/>
    <w:rsid w:val="3F4F0B07"/>
    <w:rsid w:val="3F543CB9"/>
    <w:rsid w:val="3F5F64EF"/>
    <w:rsid w:val="3F63690D"/>
    <w:rsid w:val="3F682D95"/>
    <w:rsid w:val="3F6F01A1"/>
    <w:rsid w:val="3F700066"/>
    <w:rsid w:val="3F7529EA"/>
    <w:rsid w:val="3F7847C4"/>
    <w:rsid w:val="3F8B2050"/>
    <w:rsid w:val="3F8C7AD1"/>
    <w:rsid w:val="3FAB302B"/>
    <w:rsid w:val="3FC27ABE"/>
    <w:rsid w:val="3FC452BC"/>
    <w:rsid w:val="3FCB4ACB"/>
    <w:rsid w:val="3FD95E58"/>
    <w:rsid w:val="3FDD7BEF"/>
    <w:rsid w:val="3FEA7D47"/>
    <w:rsid w:val="3FEB336E"/>
    <w:rsid w:val="3FEC0DF0"/>
    <w:rsid w:val="3FF077F6"/>
    <w:rsid w:val="3FF45D74"/>
    <w:rsid w:val="3FFD3288"/>
    <w:rsid w:val="40047AC2"/>
    <w:rsid w:val="40093CF1"/>
    <w:rsid w:val="401C75FF"/>
    <w:rsid w:val="40224BA3"/>
    <w:rsid w:val="403E1AF3"/>
    <w:rsid w:val="40407146"/>
    <w:rsid w:val="40532F56"/>
    <w:rsid w:val="405F175E"/>
    <w:rsid w:val="40662CB8"/>
    <w:rsid w:val="40693250"/>
    <w:rsid w:val="406E1A63"/>
    <w:rsid w:val="406E32F1"/>
    <w:rsid w:val="406F22C2"/>
    <w:rsid w:val="40772F52"/>
    <w:rsid w:val="407B0CD6"/>
    <w:rsid w:val="40813F04"/>
    <w:rsid w:val="4087122F"/>
    <w:rsid w:val="4092099C"/>
    <w:rsid w:val="409558F0"/>
    <w:rsid w:val="40977F45"/>
    <w:rsid w:val="40981959"/>
    <w:rsid w:val="409D5390"/>
    <w:rsid w:val="40A44D1B"/>
    <w:rsid w:val="40B65BAB"/>
    <w:rsid w:val="40B76032"/>
    <w:rsid w:val="40B84FBD"/>
    <w:rsid w:val="40BF6B94"/>
    <w:rsid w:val="40C765F3"/>
    <w:rsid w:val="40CD764E"/>
    <w:rsid w:val="40D10545"/>
    <w:rsid w:val="40DC6E09"/>
    <w:rsid w:val="40DD0378"/>
    <w:rsid w:val="40E75D93"/>
    <w:rsid w:val="40E90626"/>
    <w:rsid w:val="410272B3"/>
    <w:rsid w:val="4116052D"/>
    <w:rsid w:val="411808BF"/>
    <w:rsid w:val="411D49E5"/>
    <w:rsid w:val="412260B8"/>
    <w:rsid w:val="41270A7C"/>
    <w:rsid w:val="41280B8C"/>
    <w:rsid w:val="413260C8"/>
    <w:rsid w:val="41374193"/>
    <w:rsid w:val="41425B1E"/>
    <w:rsid w:val="4147024C"/>
    <w:rsid w:val="415625C0"/>
    <w:rsid w:val="415A7D5F"/>
    <w:rsid w:val="415E18FE"/>
    <w:rsid w:val="416C4764"/>
    <w:rsid w:val="416F0AB5"/>
    <w:rsid w:val="417377F4"/>
    <w:rsid w:val="41783EA3"/>
    <w:rsid w:val="417A14FB"/>
    <w:rsid w:val="418E271A"/>
    <w:rsid w:val="419A5181"/>
    <w:rsid w:val="419D50B7"/>
    <w:rsid w:val="41AB230D"/>
    <w:rsid w:val="41AC5B0E"/>
    <w:rsid w:val="41AD23E1"/>
    <w:rsid w:val="41B144B2"/>
    <w:rsid w:val="41B7389A"/>
    <w:rsid w:val="41C62468"/>
    <w:rsid w:val="41CE1BEC"/>
    <w:rsid w:val="41CE379D"/>
    <w:rsid w:val="41ED5FB7"/>
    <w:rsid w:val="41F027BE"/>
    <w:rsid w:val="41F1187E"/>
    <w:rsid w:val="41FB1193"/>
    <w:rsid w:val="41FD04C6"/>
    <w:rsid w:val="41FD6251"/>
    <w:rsid w:val="42004FD7"/>
    <w:rsid w:val="4202566B"/>
    <w:rsid w:val="42053586"/>
    <w:rsid w:val="42056EE1"/>
    <w:rsid w:val="42185851"/>
    <w:rsid w:val="4220209A"/>
    <w:rsid w:val="422619BB"/>
    <w:rsid w:val="42264539"/>
    <w:rsid w:val="422B0F0A"/>
    <w:rsid w:val="4232295A"/>
    <w:rsid w:val="423325B2"/>
    <w:rsid w:val="424D38D5"/>
    <w:rsid w:val="425637AE"/>
    <w:rsid w:val="42593D77"/>
    <w:rsid w:val="425A4AF9"/>
    <w:rsid w:val="425D1AEE"/>
    <w:rsid w:val="42621DDF"/>
    <w:rsid w:val="426A6C05"/>
    <w:rsid w:val="4277089F"/>
    <w:rsid w:val="427D2CF7"/>
    <w:rsid w:val="427F111D"/>
    <w:rsid w:val="4280606B"/>
    <w:rsid w:val="42853347"/>
    <w:rsid w:val="42854E3C"/>
    <w:rsid w:val="42895E35"/>
    <w:rsid w:val="428C263D"/>
    <w:rsid w:val="428D4272"/>
    <w:rsid w:val="428E78A5"/>
    <w:rsid w:val="428F7D3E"/>
    <w:rsid w:val="42901365"/>
    <w:rsid w:val="42A922C2"/>
    <w:rsid w:val="42CC7BA3"/>
    <w:rsid w:val="42D40833"/>
    <w:rsid w:val="42D504B3"/>
    <w:rsid w:val="42E973A9"/>
    <w:rsid w:val="42EE2C85"/>
    <w:rsid w:val="42F609E7"/>
    <w:rsid w:val="42F869D2"/>
    <w:rsid w:val="42FC10CD"/>
    <w:rsid w:val="42FF2A6F"/>
    <w:rsid w:val="430147FA"/>
    <w:rsid w:val="430E1911"/>
    <w:rsid w:val="43106727"/>
    <w:rsid w:val="43131F93"/>
    <w:rsid w:val="43140B14"/>
    <w:rsid w:val="43236FE4"/>
    <w:rsid w:val="432C0EC1"/>
    <w:rsid w:val="433339E5"/>
    <w:rsid w:val="434105BC"/>
    <w:rsid w:val="43464B77"/>
    <w:rsid w:val="434C1AB7"/>
    <w:rsid w:val="435128C8"/>
    <w:rsid w:val="43520E20"/>
    <w:rsid w:val="43553536"/>
    <w:rsid w:val="43577787"/>
    <w:rsid w:val="435840A6"/>
    <w:rsid w:val="435A070C"/>
    <w:rsid w:val="435A4ABE"/>
    <w:rsid w:val="435D1690"/>
    <w:rsid w:val="4364101B"/>
    <w:rsid w:val="437E1DA4"/>
    <w:rsid w:val="438012B5"/>
    <w:rsid w:val="43825F8C"/>
    <w:rsid w:val="43843854"/>
    <w:rsid w:val="43864E1C"/>
    <w:rsid w:val="438E5463"/>
    <w:rsid w:val="43A32912"/>
    <w:rsid w:val="43A91D93"/>
    <w:rsid w:val="43A91E28"/>
    <w:rsid w:val="43BE423F"/>
    <w:rsid w:val="43C4525A"/>
    <w:rsid w:val="43C6583D"/>
    <w:rsid w:val="43E23D98"/>
    <w:rsid w:val="43E9037B"/>
    <w:rsid w:val="43EE4803"/>
    <w:rsid w:val="43F2048B"/>
    <w:rsid w:val="43FE5928"/>
    <w:rsid w:val="440356A1"/>
    <w:rsid w:val="44061EA9"/>
    <w:rsid w:val="440A2B19"/>
    <w:rsid w:val="44190AA6"/>
    <w:rsid w:val="441B1AE4"/>
    <w:rsid w:val="44213794"/>
    <w:rsid w:val="442B6866"/>
    <w:rsid w:val="442C42E7"/>
    <w:rsid w:val="442F041A"/>
    <w:rsid w:val="44342122"/>
    <w:rsid w:val="443B7645"/>
    <w:rsid w:val="443F3F19"/>
    <w:rsid w:val="444204E4"/>
    <w:rsid w:val="444976A6"/>
    <w:rsid w:val="44543989"/>
    <w:rsid w:val="445441A7"/>
    <w:rsid w:val="44551C28"/>
    <w:rsid w:val="4455528C"/>
    <w:rsid w:val="44577945"/>
    <w:rsid w:val="447553AE"/>
    <w:rsid w:val="447C0277"/>
    <w:rsid w:val="448252F0"/>
    <w:rsid w:val="44846A1E"/>
    <w:rsid w:val="44893BAC"/>
    <w:rsid w:val="448B2102"/>
    <w:rsid w:val="448C3949"/>
    <w:rsid w:val="44972678"/>
    <w:rsid w:val="44AB33D8"/>
    <w:rsid w:val="44AB3C3E"/>
    <w:rsid w:val="44AF2870"/>
    <w:rsid w:val="44B66543"/>
    <w:rsid w:val="44BB1E83"/>
    <w:rsid w:val="44BD113A"/>
    <w:rsid w:val="44C742DB"/>
    <w:rsid w:val="44C766E4"/>
    <w:rsid w:val="44C91BE7"/>
    <w:rsid w:val="44CE18F2"/>
    <w:rsid w:val="44D341BE"/>
    <w:rsid w:val="44ED393A"/>
    <w:rsid w:val="44ED6924"/>
    <w:rsid w:val="44EF1A85"/>
    <w:rsid w:val="44F61323"/>
    <w:rsid w:val="45032926"/>
    <w:rsid w:val="45090B88"/>
    <w:rsid w:val="450B2169"/>
    <w:rsid w:val="450B3CEC"/>
    <w:rsid w:val="451632B9"/>
    <w:rsid w:val="452025F6"/>
    <w:rsid w:val="4521354A"/>
    <w:rsid w:val="45282968"/>
    <w:rsid w:val="453A5481"/>
    <w:rsid w:val="453F2248"/>
    <w:rsid w:val="4543681A"/>
    <w:rsid w:val="455467DE"/>
    <w:rsid w:val="45674062"/>
    <w:rsid w:val="456E5B3D"/>
    <w:rsid w:val="45732016"/>
    <w:rsid w:val="457D3752"/>
    <w:rsid w:val="45803DEB"/>
    <w:rsid w:val="45811BD5"/>
    <w:rsid w:val="458F4168"/>
    <w:rsid w:val="45906394"/>
    <w:rsid w:val="45963F1F"/>
    <w:rsid w:val="459932E9"/>
    <w:rsid w:val="459A2ECC"/>
    <w:rsid w:val="459B47D9"/>
    <w:rsid w:val="459C5503"/>
    <w:rsid w:val="45AB5E50"/>
    <w:rsid w:val="45B40F92"/>
    <w:rsid w:val="45CB65BE"/>
    <w:rsid w:val="45CC0165"/>
    <w:rsid w:val="45CC270F"/>
    <w:rsid w:val="45CC3B8A"/>
    <w:rsid w:val="45DD622C"/>
    <w:rsid w:val="45E051CA"/>
    <w:rsid w:val="45E723BF"/>
    <w:rsid w:val="45EA0EAB"/>
    <w:rsid w:val="45EE3F48"/>
    <w:rsid w:val="45F10750"/>
    <w:rsid w:val="45F45E51"/>
    <w:rsid w:val="45F5452A"/>
    <w:rsid w:val="45F60A50"/>
    <w:rsid w:val="45FF6B20"/>
    <w:rsid w:val="46000E21"/>
    <w:rsid w:val="46053B6D"/>
    <w:rsid w:val="460E248F"/>
    <w:rsid w:val="460F6C8C"/>
    <w:rsid w:val="46125243"/>
    <w:rsid w:val="46142D0C"/>
    <w:rsid w:val="46162231"/>
    <w:rsid w:val="461C0503"/>
    <w:rsid w:val="461E6C96"/>
    <w:rsid w:val="46207313"/>
    <w:rsid w:val="462431F6"/>
    <w:rsid w:val="46254E3E"/>
    <w:rsid w:val="46263A53"/>
    <w:rsid w:val="46276E36"/>
    <w:rsid w:val="462875A5"/>
    <w:rsid w:val="462A540F"/>
    <w:rsid w:val="462E6F30"/>
    <w:rsid w:val="46304725"/>
    <w:rsid w:val="463F5721"/>
    <w:rsid w:val="464175A3"/>
    <w:rsid w:val="46492FB1"/>
    <w:rsid w:val="464C630B"/>
    <w:rsid w:val="464D244D"/>
    <w:rsid w:val="465348A0"/>
    <w:rsid w:val="46546E25"/>
    <w:rsid w:val="465700F4"/>
    <w:rsid w:val="46596E7B"/>
    <w:rsid w:val="46666274"/>
    <w:rsid w:val="46682974"/>
    <w:rsid w:val="46793FD6"/>
    <w:rsid w:val="46811FCB"/>
    <w:rsid w:val="46843A8F"/>
    <w:rsid w:val="46916FD5"/>
    <w:rsid w:val="46970A81"/>
    <w:rsid w:val="469E62EA"/>
    <w:rsid w:val="46A87AD8"/>
    <w:rsid w:val="46AF31A6"/>
    <w:rsid w:val="46B036BF"/>
    <w:rsid w:val="46BA0169"/>
    <w:rsid w:val="46C816AD"/>
    <w:rsid w:val="46CA4BB0"/>
    <w:rsid w:val="46CC320F"/>
    <w:rsid w:val="46D401D9"/>
    <w:rsid w:val="46D565C0"/>
    <w:rsid w:val="46E268F5"/>
    <w:rsid w:val="46EB0A27"/>
    <w:rsid w:val="46ED0489"/>
    <w:rsid w:val="46F4698D"/>
    <w:rsid w:val="46F633A5"/>
    <w:rsid w:val="46F82F9D"/>
    <w:rsid w:val="46F8576C"/>
    <w:rsid w:val="47073529"/>
    <w:rsid w:val="47282363"/>
    <w:rsid w:val="4730365B"/>
    <w:rsid w:val="47315859"/>
    <w:rsid w:val="47354E9D"/>
    <w:rsid w:val="474918D0"/>
    <w:rsid w:val="474A4E57"/>
    <w:rsid w:val="47577E9B"/>
    <w:rsid w:val="47580F9C"/>
    <w:rsid w:val="47590C4D"/>
    <w:rsid w:val="476110F1"/>
    <w:rsid w:val="47622178"/>
    <w:rsid w:val="47724D80"/>
    <w:rsid w:val="477742C6"/>
    <w:rsid w:val="47810C98"/>
    <w:rsid w:val="4784597B"/>
    <w:rsid w:val="47862D65"/>
    <w:rsid w:val="47871442"/>
    <w:rsid w:val="47873A30"/>
    <w:rsid w:val="478878EC"/>
    <w:rsid w:val="478F13E2"/>
    <w:rsid w:val="47907C4F"/>
    <w:rsid w:val="47924F0A"/>
    <w:rsid w:val="479362DE"/>
    <w:rsid w:val="479D22A7"/>
    <w:rsid w:val="47A11F0E"/>
    <w:rsid w:val="47A32315"/>
    <w:rsid w:val="47A435BA"/>
    <w:rsid w:val="47A710B5"/>
    <w:rsid w:val="47A8679C"/>
    <w:rsid w:val="47D35949"/>
    <w:rsid w:val="47D63DE9"/>
    <w:rsid w:val="47D82119"/>
    <w:rsid w:val="47DB79F3"/>
    <w:rsid w:val="47DF46F8"/>
    <w:rsid w:val="47EA6278"/>
    <w:rsid w:val="47EB5D77"/>
    <w:rsid w:val="47EB6534"/>
    <w:rsid w:val="47F109F0"/>
    <w:rsid w:val="47F545B2"/>
    <w:rsid w:val="47FD24CE"/>
    <w:rsid w:val="47FE4FAD"/>
    <w:rsid w:val="480571D7"/>
    <w:rsid w:val="480E54FB"/>
    <w:rsid w:val="481B1976"/>
    <w:rsid w:val="483C5B77"/>
    <w:rsid w:val="4843441C"/>
    <w:rsid w:val="48474A35"/>
    <w:rsid w:val="484D05AF"/>
    <w:rsid w:val="485109B8"/>
    <w:rsid w:val="48527770"/>
    <w:rsid w:val="485E084A"/>
    <w:rsid w:val="485E4CA3"/>
    <w:rsid w:val="48605D7B"/>
    <w:rsid w:val="486275F8"/>
    <w:rsid w:val="486B4D04"/>
    <w:rsid w:val="486F6565"/>
    <w:rsid w:val="4874716B"/>
    <w:rsid w:val="48842109"/>
    <w:rsid w:val="488D7D14"/>
    <w:rsid w:val="48932711"/>
    <w:rsid w:val="4896657D"/>
    <w:rsid w:val="48A147B6"/>
    <w:rsid w:val="48A531BC"/>
    <w:rsid w:val="48B41258"/>
    <w:rsid w:val="48BA26EA"/>
    <w:rsid w:val="48BE15F2"/>
    <w:rsid w:val="48DF49ED"/>
    <w:rsid w:val="48E87129"/>
    <w:rsid w:val="48F407FD"/>
    <w:rsid w:val="49017376"/>
    <w:rsid w:val="490F7AD2"/>
    <w:rsid w:val="4921106B"/>
    <w:rsid w:val="492F5C5D"/>
    <w:rsid w:val="49302DA0"/>
    <w:rsid w:val="494001B9"/>
    <w:rsid w:val="49522426"/>
    <w:rsid w:val="495A6802"/>
    <w:rsid w:val="495C4DFE"/>
    <w:rsid w:val="495F006C"/>
    <w:rsid w:val="49603601"/>
    <w:rsid w:val="4964688E"/>
    <w:rsid w:val="496838F6"/>
    <w:rsid w:val="49794AF8"/>
    <w:rsid w:val="497B416E"/>
    <w:rsid w:val="49865D2D"/>
    <w:rsid w:val="4988711F"/>
    <w:rsid w:val="498A4734"/>
    <w:rsid w:val="498E313A"/>
    <w:rsid w:val="49965FC8"/>
    <w:rsid w:val="49A94FE8"/>
    <w:rsid w:val="49AB0901"/>
    <w:rsid w:val="49BA2D04"/>
    <w:rsid w:val="49CF1CC0"/>
    <w:rsid w:val="49CF397D"/>
    <w:rsid w:val="49D2118A"/>
    <w:rsid w:val="49D77F46"/>
    <w:rsid w:val="49D93D12"/>
    <w:rsid w:val="49DC4EAC"/>
    <w:rsid w:val="49E20A12"/>
    <w:rsid w:val="49E55BC5"/>
    <w:rsid w:val="49EC3AD3"/>
    <w:rsid w:val="49F05D93"/>
    <w:rsid w:val="49F70420"/>
    <w:rsid w:val="4A05012B"/>
    <w:rsid w:val="4A077580"/>
    <w:rsid w:val="4A0A30E4"/>
    <w:rsid w:val="4A0A3D88"/>
    <w:rsid w:val="4A2536E2"/>
    <w:rsid w:val="4A272735"/>
    <w:rsid w:val="4A290E2D"/>
    <w:rsid w:val="4A2C64BB"/>
    <w:rsid w:val="4A345758"/>
    <w:rsid w:val="4A3C1FD9"/>
    <w:rsid w:val="4A58168F"/>
    <w:rsid w:val="4A5D0BB5"/>
    <w:rsid w:val="4A691B81"/>
    <w:rsid w:val="4A6C2B28"/>
    <w:rsid w:val="4A75085D"/>
    <w:rsid w:val="4A750A2E"/>
    <w:rsid w:val="4A7528FB"/>
    <w:rsid w:val="4A760F83"/>
    <w:rsid w:val="4A7965BA"/>
    <w:rsid w:val="4A83695D"/>
    <w:rsid w:val="4A8F5DF4"/>
    <w:rsid w:val="4A985C76"/>
    <w:rsid w:val="4A9C5875"/>
    <w:rsid w:val="4AA616CD"/>
    <w:rsid w:val="4AAC74B1"/>
    <w:rsid w:val="4AB61CA3"/>
    <w:rsid w:val="4AC05DF2"/>
    <w:rsid w:val="4AC7118A"/>
    <w:rsid w:val="4AD67A96"/>
    <w:rsid w:val="4ADD46D9"/>
    <w:rsid w:val="4AE37AB9"/>
    <w:rsid w:val="4AEB77F6"/>
    <w:rsid w:val="4AEC108F"/>
    <w:rsid w:val="4AF30DD3"/>
    <w:rsid w:val="4AF41787"/>
    <w:rsid w:val="4AFB0A72"/>
    <w:rsid w:val="4B023C9F"/>
    <w:rsid w:val="4B0C697F"/>
    <w:rsid w:val="4B1447FF"/>
    <w:rsid w:val="4B2E3920"/>
    <w:rsid w:val="4B330243"/>
    <w:rsid w:val="4B487C3B"/>
    <w:rsid w:val="4B492FDD"/>
    <w:rsid w:val="4B562725"/>
    <w:rsid w:val="4B586658"/>
    <w:rsid w:val="4B5E55E0"/>
    <w:rsid w:val="4B5F1020"/>
    <w:rsid w:val="4B600E77"/>
    <w:rsid w:val="4B61063B"/>
    <w:rsid w:val="4B760612"/>
    <w:rsid w:val="4B787031"/>
    <w:rsid w:val="4B7A070D"/>
    <w:rsid w:val="4B8C3164"/>
    <w:rsid w:val="4B8F684D"/>
    <w:rsid w:val="4B9527CA"/>
    <w:rsid w:val="4BA13CA3"/>
    <w:rsid w:val="4BA15123"/>
    <w:rsid w:val="4BA17708"/>
    <w:rsid w:val="4BA22BA5"/>
    <w:rsid w:val="4BA250EF"/>
    <w:rsid w:val="4BAC56B3"/>
    <w:rsid w:val="4BB275BC"/>
    <w:rsid w:val="4BB50541"/>
    <w:rsid w:val="4BBF1BBC"/>
    <w:rsid w:val="4BC81760"/>
    <w:rsid w:val="4BCE75EA"/>
    <w:rsid w:val="4BD71998"/>
    <w:rsid w:val="4BD913EE"/>
    <w:rsid w:val="4BDF3EC5"/>
    <w:rsid w:val="4BDF7F5D"/>
    <w:rsid w:val="4BE7762B"/>
    <w:rsid w:val="4BEC52E2"/>
    <w:rsid w:val="4BEE5222"/>
    <w:rsid w:val="4BF02011"/>
    <w:rsid w:val="4BF1671B"/>
    <w:rsid w:val="4BF663E2"/>
    <w:rsid w:val="4BFA3233"/>
    <w:rsid w:val="4C01567F"/>
    <w:rsid w:val="4C0541B9"/>
    <w:rsid w:val="4C1304FF"/>
    <w:rsid w:val="4C156449"/>
    <w:rsid w:val="4C1B7C71"/>
    <w:rsid w:val="4C1C63D6"/>
    <w:rsid w:val="4C1E7B16"/>
    <w:rsid w:val="4C220B74"/>
    <w:rsid w:val="4C2948CF"/>
    <w:rsid w:val="4C2D52ED"/>
    <w:rsid w:val="4C2E0139"/>
    <w:rsid w:val="4C374666"/>
    <w:rsid w:val="4C426EAB"/>
    <w:rsid w:val="4C4334E7"/>
    <w:rsid w:val="4C510125"/>
    <w:rsid w:val="4C51463C"/>
    <w:rsid w:val="4C5F40D3"/>
    <w:rsid w:val="4C6D7CEF"/>
    <w:rsid w:val="4C6F76E5"/>
    <w:rsid w:val="4C7B569E"/>
    <w:rsid w:val="4C8637A6"/>
    <w:rsid w:val="4C864A35"/>
    <w:rsid w:val="4C8720EE"/>
    <w:rsid w:val="4C8C0019"/>
    <w:rsid w:val="4C945680"/>
    <w:rsid w:val="4C9778D3"/>
    <w:rsid w:val="4C9C3B87"/>
    <w:rsid w:val="4C9E5AA1"/>
    <w:rsid w:val="4CA536CC"/>
    <w:rsid w:val="4CA8252C"/>
    <w:rsid w:val="4CB107E4"/>
    <w:rsid w:val="4CB8016E"/>
    <w:rsid w:val="4CBB62EB"/>
    <w:rsid w:val="4CC01CF8"/>
    <w:rsid w:val="4CCD4FDD"/>
    <w:rsid w:val="4CCF7D94"/>
    <w:rsid w:val="4CD26FC9"/>
    <w:rsid w:val="4CD51C9D"/>
    <w:rsid w:val="4CD916C8"/>
    <w:rsid w:val="4CD94E20"/>
    <w:rsid w:val="4CE11E26"/>
    <w:rsid w:val="4CF02636"/>
    <w:rsid w:val="4CF029E6"/>
    <w:rsid w:val="4CFA4A2F"/>
    <w:rsid w:val="4CFE19BB"/>
    <w:rsid w:val="4D023A66"/>
    <w:rsid w:val="4D203016"/>
    <w:rsid w:val="4D207A05"/>
    <w:rsid w:val="4D2B7DC0"/>
    <w:rsid w:val="4D3010B2"/>
    <w:rsid w:val="4D44614C"/>
    <w:rsid w:val="4D521CE7"/>
    <w:rsid w:val="4D53283E"/>
    <w:rsid w:val="4D742AA0"/>
    <w:rsid w:val="4D85403F"/>
    <w:rsid w:val="4D8D144B"/>
    <w:rsid w:val="4D8F7D9A"/>
    <w:rsid w:val="4D9258D3"/>
    <w:rsid w:val="4D9B696C"/>
    <w:rsid w:val="4D9D5EF9"/>
    <w:rsid w:val="4DA150CC"/>
    <w:rsid w:val="4DA56675"/>
    <w:rsid w:val="4DA71FF5"/>
    <w:rsid w:val="4DA9228F"/>
    <w:rsid w:val="4DA9626A"/>
    <w:rsid w:val="4DAA04AC"/>
    <w:rsid w:val="4DC14E74"/>
    <w:rsid w:val="4DC715AE"/>
    <w:rsid w:val="4DCA5A2D"/>
    <w:rsid w:val="4DD07097"/>
    <w:rsid w:val="4DD17973"/>
    <w:rsid w:val="4DF15FC5"/>
    <w:rsid w:val="4DF92CF9"/>
    <w:rsid w:val="4DFC4574"/>
    <w:rsid w:val="4DFF5FFA"/>
    <w:rsid w:val="4E015C76"/>
    <w:rsid w:val="4E046B0C"/>
    <w:rsid w:val="4E0B22A4"/>
    <w:rsid w:val="4E103A40"/>
    <w:rsid w:val="4E113C23"/>
    <w:rsid w:val="4E213D88"/>
    <w:rsid w:val="4E244E42"/>
    <w:rsid w:val="4E257040"/>
    <w:rsid w:val="4E2859DF"/>
    <w:rsid w:val="4E294664"/>
    <w:rsid w:val="4E310026"/>
    <w:rsid w:val="4E3450DC"/>
    <w:rsid w:val="4E4A17FE"/>
    <w:rsid w:val="4E4A2325"/>
    <w:rsid w:val="4E5B4DBE"/>
    <w:rsid w:val="4E614CA7"/>
    <w:rsid w:val="4E66332D"/>
    <w:rsid w:val="4E6C5236"/>
    <w:rsid w:val="4E707C5F"/>
    <w:rsid w:val="4E7B75FE"/>
    <w:rsid w:val="4E7E7024"/>
    <w:rsid w:val="4E7F0C5D"/>
    <w:rsid w:val="4E8512CD"/>
    <w:rsid w:val="4E895C6B"/>
    <w:rsid w:val="4E8C398D"/>
    <w:rsid w:val="4E965174"/>
    <w:rsid w:val="4E9D1289"/>
    <w:rsid w:val="4EA91C8B"/>
    <w:rsid w:val="4EB14965"/>
    <w:rsid w:val="4ECC11C2"/>
    <w:rsid w:val="4ECC48FD"/>
    <w:rsid w:val="4ECD680F"/>
    <w:rsid w:val="4ED42F55"/>
    <w:rsid w:val="4EEF61F4"/>
    <w:rsid w:val="4EF03291"/>
    <w:rsid w:val="4EF05606"/>
    <w:rsid w:val="4EF6519A"/>
    <w:rsid w:val="4EF75D33"/>
    <w:rsid w:val="4EFD50D2"/>
    <w:rsid w:val="4EFF121C"/>
    <w:rsid w:val="4F0730DF"/>
    <w:rsid w:val="4F07521B"/>
    <w:rsid w:val="4F080938"/>
    <w:rsid w:val="4F0E5712"/>
    <w:rsid w:val="4F176200"/>
    <w:rsid w:val="4F1A3BBA"/>
    <w:rsid w:val="4F1C1F50"/>
    <w:rsid w:val="4F281D7A"/>
    <w:rsid w:val="4F3A18BA"/>
    <w:rsid w:val="4F416513"/>
    <w:rsid w:val="4F47179A"/>
    <w:rsid w:val="4F476BA9"/>
    <w:rsid w:val="4F556C38"/>
    <w:rsid w:val="4F563CC4"/>
    <w:rsid w:val="4F5C59C2"/>
    <w:rsid w:val="4F5D3A77"/>
    <w:rsid w:val="4F63158E"/>
    <w:rsid w:val="4F6651D6"/>
    <w:rsid w:val="4F6D4AEC"/>
    <w:rsid w:val="4F74041D"/>
    <w:rsid w:val="4F835177"/>
    <w:rsid w:val="4F855496"/>
    <w:rsid w:val="4F897EE9"/>
    <w:rsid w:val="4FA70B4B"/>
    <w:rsid w:val="4FB42FCF"/>
    <w:rsid w:val="4FB52EF3"/>
    <w:rsid w:val="4FB777D7"/>
    <w:rsid w:val="4FC36A05"/>
    <w:rsid w:val="4FC7362A"/>
    <w:rsid w:val="4FD56D87"/>
    <w:rsid w:val="4FD61243"/>
    <w:rsid w:val="4FD613F9"/>
    <w:rsid w:val="4FDF1F43"/>
    <w:rsid w:val="4FF67FD3"/>
    <w:rsid w:val="4FF84CC2"/>
    <w:rsid w:val="4FF94A9C"/>
    <w:rsid w:val="501676F2"/>
    <w:rsid w:val="50186577"/>
    <w:rsid w:val="501941E2"/>
    <w:rsid w:val="501A6C55"/>
    <w:rsid w:val="501B1E59"/>
    <w:rsid w:val="501C6446"/>
    <w:rsid w:val="501F4AA3"/>
    <w:rsid w:val="5044128D"/>
    <w:rsid w:val="504466D5"/>
    <w:rsid w:val="50462F07"/>
    <w:rsid w:val="50537E29"/>
    <w:rsid w:val="5055341A"/>
    <w:rsid w:val="505C3614"/>
    <w:rsid w:val="50676C11"/>
    <w:rsid w:val="50682C89"/>
    <w:rsid w:val="50774B6D"/>
    <w:rsid w:val="508C1DCB"/>
    <w:rsid w:val="50BF1B85"/>
    <w:rsid w:val="50C0087A"/>
    <w:rsid w:val="50CD3EC8"/>
    <w:rsid w:val="50D03640"/>
    <w:rsid w:val="50D253CB"/>
    <w:rsid w:val="50E449C6"/>
    <w:rsid w:val="50E475D7"/>
    <w:rsid w:val="50F254B2"/>
    <w:rsid w:val="50FF2EDD"/>
    <w:rsid w:val="51000132"/>
    <w:rsid w:val="511B7FA7"/>
    <w:rsid w:val="51275155"/>
    <w:rsid w:val="51285E95"/>
    <w:rsid w:val="512924A0"/>
    <w:rsid w:val="512C17E2"/>
    <w:rsid w:val="51407DF8"/>
    <w:rsid w:val="51524753"/>
    <w:rsid w:val="515B1740"/>
    <w:rsid w:val="515E02D0"/>
    <w:rsid w:val="5173296C"/>
    <w:rsid w:val="51744C0F"/>
    <w:rsid w:val="51792CBB"/>
    <w:rsid w:val="51797CE2"/>
    <w:rsid w:val="518112F3"/>
    <w:rsid w:val="51846ACD"/>
    <w:rsid w:val="51854F03"/>
    <w:rsid w:val="5186674D"/>
    <w:rsid w:val="51975E97"/>
    <w:rsid w:val="51A3627A"/>
    <w:rsid w:val="51A71634"/>
    <w:rsid w:val="51B14BED"/>
    <w:rsid w:val="51BA28A2"/>
    <w:rsid w:val="51DC7F9D"/>
    <w:rsid w:val="51E15B62"/>
    <w:rsid w:val="51E51984"/>
    <w:rsid w:val="51E55C99"/>
    <w:rsid w:val="51EF13F6"/>
    <w:rsid w:val="51F50173"/>
    <w:rsid w:val="51FB343D"/>
    <w:rsid w:val="52044E1D"/>
    <w:rsid w:val="52194C1C"/>
    <w:rsid w:val="523C36F8"/>
    <w:rsid w:val="52454216"/>
    <w:rsid w:val="524717A4"/>
    <w:rsid w:val="524A3A31"/>
    <w:rsid w:val="52526454"/>
    <w:rsid w:val="52597DAA"/>
    <w:rsid w:val="525C1CEF"/>
    <w:rsid w:val="525E0C42"/>
    <w:rsid w:val="525F1CB4"/>
    <w:rsid w:val="52717917"/>
    <w:rsid w:val="527350D1"/>
    <w:rsid w:val="527C7F5F"/>
    <w:rsid w:val="528B5767"/>
    <w:rsid w:val="528F7862"/>
    <w:rsid w:val="529408D1"/>
    <w:rsid w:val="52946F74"/>
    <w:rsid w:val="52986A2B"/>
    <w:rsid w:val="529A0AE3"/>
    <w:rsid w:val="52AF2D38"/>
    <w:rsid w:val="52BE4B87"/>
    <w:rsid w:val="52C1320F"/>
    <w:rsid w:val="52C316B0"/>
    <w:rsid w:val="52C73313"/>
    <w:rsid w:val="52D33625"/>
    <w:rsid w:val="52D962FB"/>
    <w:rsid w:val="52DB5362"/>
    <w:rsid w:val="52E223BF"/>
    <w:rsid w:val="52E75F57"/>
    <w:rsid w:val="52E90593"/>
    <w:rsid w:val="52F543A6"/>
    <w:rsid w:val="530C2ACD"/>
    <w:rsid w:val="530D0D17"/>
    <w:rsid w:val="531471DF"/>
    <w:rsid w:val="531A7922"/>
    <w:rsid w:val="532841B4"/>
    <w:rsid w:val="532E16F7"/>
    <w:rsid w:val="53411573"/>
    <w:rsid w:val="5344009F"/>
    <w:rsid w:val="53452211"/>
    <w:rsid w:val="536200A8"/>
    <w:rsid w:val="536B08B7"/>
    <w:rsid w:val="536B679F"/>
    <w:rsid w:val="537012AB"/>
    <w:rsid w:val="537A7588"/>
    <w:rsid w:val="5381780D"/>
    <w:rsid w:val="538752B5"/>
    <w:rsid w:val="539B603E"/>
    <w:rsid w:val="53A279AB"/>
    <w:rsid w:val="53A3105E"/>
    <w:rsid w:val="53B4015C"/>
    <w:rsid w:val="53BD686C"/>
    <w:rsid w:val="53C64B93"/>
    <w:rsid w:val="53CA0F06"/>
    <w:rsid w:val="53D855EF"/>
    <w:rsid w:val="53F6524D"/>
    <w:rsid w:val="54057172"/>
    <w:rsid w:val="540754E7"/>
    <w:rsid w:val="5409646C"/>
    <w:rsid w:val="54185AF9"/>
    <w:rsid w:val="541C5A99"/>
    <w:rsid w:val="5428418F"/>
    <w:rsid w:val="543350B2"/>
    <w:rsid w:val="54373652"/>
    <w:rsid w:val="544259AB"/>
    <w:rsid w:val="54461FC5"/>
    <w:rsid w:val="54480B4C"/>
    <w:rsid w:val="545952F2"/>
    <w:rsid w:val="545E1779"/>
    <w:rsid w:val="54691D09"/>
    <w:rsid w:val="546E34AA"/>
    <w:rsid w:val="54735AB7"/>
    <w:rsid w:val="54827D08"/>
    <w:rsid w:val="5484245A"/>
    <w:rsid w:val="548A31D7"/>
    <w:rsid w:val="548A5218"/>
    <w:rsid w:val="548A6C60"/>
    <w:rsid w:val="54916986"/>
    <w:rsid w:val="549412E0"/>
    <w:rsid w:val="54984A55"/>
    <w:rsid w:val="549B37DD"/>
    <w:rsid w:val="549B6D76"/>
    <w:rsid w:val="54AA034C"/>
    <w:rsid w:val="54BA0218"/>
    <w:rsid w:val="54C02717"/>
    <w:rsid w:val="54C06321"/>
    <w:rsid w:val="54C42ABA"/>
    <w:rsid w:val="54DE554B"/>
    <w:rsid w:val="54E542B0"/>
    <w:rsid w:val="54EA73C1"/>
    <w:rsid w:val="54EE6C80"/>
    <w:rsid w:val="54F33E6B"/>
    <w:rsid w:val="54F36CE0"/>
    <w:rsid w:val="54F453DD"/>
    <w:rsid w:val="54FA15F8"/>
    <w:rsid w:val="54FF3501"/>
    <w:rsid w:val="55016A04"/>
    <w:rsid w:val="5507090D"/>
    <w:rsid w:val="550A3A80"/>
    <w:rsid w:val="550B4A52"/>
    <w:rsid w:val="550D11E2"/>
    <w:rsid w:val="551121A7"/>
    <w:rsid w:val="552E3233"/>
    <w:rsid w:val="552F461E"/>
    <w:rsid w:val="554553E5"/>
    <w:rsid w:val="55460DE4"/>
    <w:rsid w:val="55481377"/>
    <w:rsid w:val="554B3D72"/>
    <w:rsid w:val="55615F59"/>
    <w:rsid w:val="5568752D"/>
    <w:rsid w:val="55705C1E"/>
    <w:rsid w:val="55745A4A"/>
    <w:rsid w:val="55762246"/>
    <w:rsid w:val="5576730D"/>
    <w:rsid w:val="557C6D64"/>
    <w:rsid w:val="558716BA"/>
    <w:rsid w:val="55966EF8"/>
    <w:rsid w:val="55992B5C"/>
    <w:rsid w:val="55A92695"/>
    <w:rsid w:val="55B1164D"/>
    <w:rsid w:val="55B31A9D"/>
    <w:rsid w:val="55B40974"/>
    <w:rsid w:val="55B4735E"/>
    <w:rsid w:val="55B549BA"/>
    <w:rsid w:val="55B764F7"/>
    <w:rsid w:val="55BB221D"/>
    <w:rsid w:val="55BD69E6"/>
    <w:rsid w:val="55D32EED"/>
    <w:rsid w:val="55E95835"/>
    <w:rsid w:val="55EA04EE"/>
    <w:rsid w:val="55EE5388"/>
    <w:rsid w:val="55F31810"/>
    <w:rsid w:val="55F41C89"/>
    <w:rsid w:val="55F841AF"/>
    <w:rsid w:val="55FB5BD6"/>
    <w:rsid w:val="55FF20FF"/>
    <w:rsid w:val="56034AE4"/>
    <w:rsid w:val="56162CC9"/>
    <w:rsid w:val="561D0456"/>
    <w:rsid w:val="56235BA7"/>
    <w:rsid w:val="56371459"/>
    <w:rsid w:val="5637179B"/>
    <w:rsid w:val="563C2F09"/>
    <w:rsid w:val="56402AE1"/>
    <w:rsid w:val="56480747"/>
    <w:rsid w:val="56482D7E"/>
    <w:rsid w:val="56484633"/>
    <w:rsid w:val="56573BDE"/>
    <w:rsid w:val="565A24B9"/>
    <w:rsid w:val="56612B28"/>
    <w:rsid w:val="56656122"/>
    <w:rsid w:val="566C5C56"/>
    <w:rsid w:val="566E1159"/>
    <w:rsid w:val="56701367"/>
    <w:rsid w:val="567120DE"/>
    <w:rsid w:val="56733C18"/>
    <w:rsid w:val="567734B3"/>
    <w:rsid w:val="56866800"/>
    <w:rsid w:val="56881D03"/>
    <w:rsid w:val="56897926"/>
    <w:rsid w:val="56933917"/>
    <w:rsid w:val="56A63B15"/>
    <w:rsid w:val="56B06A00"/>
    <w:rsid w:val="56B46513"/>
    <w:rsid w:val="56B518CE"/>
    <w:rsid w:val="56B62E02"/>
    <w:rsid w:val="56B72852"/>
    <w:rsid w:val="56BB679E"/>
    <w:rsid w:val="56BC50AE"/>
    <w:rsid w:val="56D15113"/>
    <w:rsid w:val="56D4654E"/>
    <w:rsid w:val="56D5378B"/>
    <w:rsid w:val="56D56A0E"/>
    <w:rsid w:val="56D77D6D"/>
    <w:rsid w:val="56ED38C9"/>
    <w:rsid w:val="56ED4D2C"/>
    <w:rsid w:val="56ED52AB"/>
    <w:rsid w:val="56F50139"/>
    <w:rsid w:val="57055AD1"/>
    <w:rsid w:val="570A485B"/>
    <w:rsid w:val="5715646F"/>
    <w:rsid w:val="57194E75"/>
    <w:rsid w:val="5724407D"/>
    <w:rsid w:val="574349A4"/>
    <w:rsid w:val="574D7300"/>
    <w:rsid w:val="575B54E2"/>
    <w:rsid w:val="575C3B41"/>
    <w:rsid w:val="576461D9"/>
    <w:rsid w:val="57780712"/>
    <w:rsid w:val="578A642E"/>
    <w:rsid w:val="57995BE5"/>
    <w:rsid w:val="579F72CD"/>
    <w:rsid w:val="57A42087"/>
    <w:rsid w:val="57A9565E"/>
    <w:rsid w:val="57AC7A64"/>
    <w:rsid w:val="57B30986"/>
    <w:rsid w:val="57B55DAB"/>
    <w:rsid w:val="57B569C0"/>
    <w:rsid w:val="57B93204"/>
    <w:rsid w:val="57BB6BFD"/>
    <w:rsid w:val="57BF5603"/>
    <w:rsid w:val="57C16588"/>
    <w:rsid w:val="57CC711C"/>
    <w:rsid w:val="57CE4E71"/>
    <w:rsid w:val="57D421C2"/>
    <w:rsid w:val="57E3283E"/>
    <w:rsid w:val="57EA5590"/>
    <w:rsid w:val="57F804DF"/>
    <w:rsid w:val="57FF4799"/>
    <w:rsid w:val="58190752"/>
    <w:rsid w:val="581D06E7"/>
    <w:rsid w:val="581F2185"/>
    <w:rsid w:val="5821545B"/>
    <w:rsid w:val="582675C8"/>
    <w:rsid w:val="582770EB"/>
    <w:rsid w:val="5834469F"/>
    <w:rsid w:val="583E5C20"/>
    <w:rsid w:val="583F50BD"/>
    <w:rsid w:val="584432DE"/>
    <w:rsid w:val="58487AE6"/>
    <w:rsid w:val="58493723"/>
    <w:rsid w:val="58530075"/>
    <w:rsid w:val="585844FD"/>
    <w:rsid w:val="585C0E40"/>
    <w:rsid w:val="5861025D"/>
    <w:rsid w:val="586628D4"/>
    <w:rsid w:val="586E1F24"/>
    <w:rsid w:val="586F4514"/>
    <w:rsid w:val="58712EA8"/>
    <w:rsid w:val="587D0EB9"/>
    <w:rsid w:val="589571E2"/>
    <w:rsid w:val="5899092D"/>
    <w:rsid w:val="58A113E1"/>
    <w:rsid w:val="58A53A58"/>
    <w:rsid w:val="58B24108"/>
    <w:rsid w:val="58BA4DF1"/>
    <w:rsid w:val="58C17300"/>
    <w:rsid w:val="58C3742F"/>
    <w:rsid w:val="58D0053D"/>
    <w:rsid w:val="58EE32BB"/>
    <w:rsid w:val="58F34EDC"/>
    <w:rsid w:val="58F62669"/>
    <w:rsid w:val="58FF7636"/>
    <w:rsid w:val="59001493"/>
    <w:rsid w:val="590E1AE5"/>
    <w:rsid w:val="590E661B"/>
    <w:rsid w:val="590F1AAD"/>
    <w:rsid w:val="591070E2"/>
    <w:rsid w:val="59176EB9"/>
    <w:rsid w:val="591923BD"/>
    <w:rsid w:val="591A203C"/>
    <w:rsid w:val="591B271B"/>
    <w:rsid w:val="591B762A"/>
    <w:rsid w:val="5920611F"/>
    <w:rsid w:val="593947E3"/>
    <w:rsid w:val="59426C09"/>
    <w:rsid w:val="594444F3"/>
    <w:rsid w:val="59486A27"/>
    <w:rsid w:val="59534BE6"/>
    <w:rsid w:val="595A2A3C"/>
    <w:rsid w:val="595D161A"/>
    <w:rsid w:val="59706F1B"/>
    <w:rsid w:val="59737D5B"/>
    <w:rsid w:val="59747463"/>
    <w:rsid w:val="59876B97"/>
    <w:rsid w:val="598C40A0"/>
    <w:rsid w:val="598C48FA"/>
    <w:rsid w:val="598C59DE"/>
    <w:rsid w:val="598E25F2"/>
    <w:rsid w:val="598E7DFD"/>
    <w:rsid w:val="5991743C"/>
    <w:rsid w:val="5992130F"/>
    <w:rsid w:val="59941D9F"/>
    <w:rsid w:val="59A017D1"/>
    <w:rsid w:val="59AD5822"/>
    <w:rsid w:val="59B05DB3"/>
    <w:rsid w:val="59C21A72"/>
    <w:rsid w:val="59C51FCA"/>
    <w:rsid w:val="59CB3236"/>
    <w:rsid w:val="59D27D0B"/>
    <w:rsid w:val="59D51D5D"/>
    <w:rsid w:val="59D76997"/>
    <w:rsid w:val="59DA647E"/>
    <w:rsid w:val="59DB04EE"/>
    <w:rsid w:val="59E41216"/>
    <w:rsid w:val="59E41B22"/>
    <w:rsid w:val="59E81184"/>
    <w:rsid w:val="59FA6A84"/>
    <w:rsid w:val="59FC1724"/>
    <w:rsid w:val="5A0377E1"/>
    <w:rsid w:val="5A0F2498"/>
    <w:rsid w:val="5A1225D4"/>
    <w:rsid w:val="5A171EB1"/>
    <w:rsid w:val="5A1A79E1"/>
    <w:rsid w:val="5A1E1CAC"/>
    <w:rsid w:val="5A1E40C3"/>
    <w:rsid w:val="5A235F72"/>
    <w:rsid w:val="5A325088"/>
    <w:rsid w:val="5A380B9C"/>
    <w:rsid w:val="5A3F7C21"/>
    <w:rsid w:val="5A454C62"/>
    <w:rsid w:val="5A46457E"/>
    <w:rsid w:val="5A4762DE"/>
    <w:rsid w:val="5A556E1A"/>
    <w:rsid w:val="5A61158B"/>
    <w:rsid w:val="5A612353"/>
    <w:rsid w:val="5A613550"/>
    <w:rsid w:val="5A66425D"/>
    <w:rsid w:val="5A671CDE"/>
    <w:rsid w:val="5A680140"/>
    <w:rsid w:val="5A6E3CF5"/>
    <w:rsid w:val="5A6F6678"/>
    <w:rsid w:val="5A7501B3"/>
    <w:rsid w:val="5A76571C"/>
    <w:rsid w:val="5A7A55ED"/>
    <w:rsid w:val="5A8218B6"/>
    <w:rsid w:val="5A876343"/>
    <w:rsid w:val="5A9802AF"/>
    <w:rsid w:val="5A9B1234"/>
    <w:rsid w:val="5AB02BF1"/>
    <w:rsid w:val="5AB13CD8"/>
    <w:rsid w:val="5AC05880"/>
    <w:rsid w:val="5ADC509F"/>
    <w:rsid w:val="5ADE76EF"/>
    <w:rsid w:val="5AEB3CF1"/>
    <w:rsid w:val="5AEC1F37"/>
    <w:rsid w:val="5AFB6928"/>
    <w:rsid w:val="5B0C6070"/>
    <w:rsid w:val="5B0E7A56"/>
    <w:rsid w:val="5B3249B7"/>
    <w:rsid w:val="5B4558EE"/>
    <w:rsid w:val="5B4C6E83"/>
    <w:rsid w:val="5B4E5501"/>
    <w:rsid w:val="5B4F6759"/>
    <w:rsid w:val="5B575963"/>
    <w:rsid w:val="5B5D7E1A"/>
    <w:rsid w:val="5B5F2276"/>
    <w:rsid w:val="5B60481D"/>
    <w:rsid w:val="5B77571F"/>
    <w:rsid w:val="5B7B5AF5"/>
    <w:rsid w:val="5B7D50AA"/>
    <w:rsid w:val="5B9B5EF1"/>
    <w:rsid w:val="5B9D1EFC"/>
    <w:rsid w:val="5BA65531"/>
    <w:rsid w:val="5BAB48F4"/>
    <w:rsid w:val="5BBE5027"/>
    <w:rsid w:val="5BC26603"/>
    <w:rsid w:val="5BD11960"/>
    <w:rsid w:val="5BE302D1"/>
    <w:rsid w:val="5BE43388"/>
    <w:rsid w:val="5BE85354"/>
    <w:rsid w:val="5BF92FF2"/>
    <w:rsid w:val="5C032D84"/>
    <w:rsid w:val="5C0702AD"/>
    <w:rsid w:val="5C0B0191"/>
    <w:rsid w:val="5C0F1831"/>
    <w:rsid w:val="5C1716E2"/>
    <w:rsid w:val="5C1C61C8"/>
    <w:rsid w:val="5C2E0FC6"/>
    <w:rsid w:val="5C2F352C"/>
    <w:rsid w:val="5C3F5C68"/>
    <w:rsid w:val="5C4415EF"/>
    <w:rsid w:val="5C471E62"/>
    <w:rsid w:val="5C477882"/>
    <w:rsid w:val="5C486BA1"/>
    <w:rsid w:val="5C671943"/>
    <w:rsid w:val="5C695A33"/>
    <w:rsid w:val="5C6C2988"/>
    <w:rsid w:val="5C8432AF"/>
    <w:rsid w:val="5C863F23"/>
    <w:rsid w:val="5C924E81"/>
    <w:rsid w:val="5C9E5181"/>
    <w:rsid w:val="5CA60F7A"/>
    <w:rsid w:val="5CA97ED8"/>
    <w:rsid w:val="5CAA298A"/>
    <w:rsid w:val="5CB441CB"/>
    <w:rsid w:val="5CBA2066"/>
    <w:rsid w:val="5CBF6B48"/>
    <w:rsid w:val="5CCC6400"/>
    <w:rsid w:val="5CDE2E5E"/>
    <w:rsid w:val="5CE65575"/>
    <w:rsid w:val="5CF716F1"/>
    <w:rsid w:val="5CFC04B2"/>
    <w:rsid w:val="5CFE29DB"/>
    <w:rsid w:val="5CFF08B7"/>
    <w:rsid w:val="5CFF3025"/>
    <w:rsid w:val="5D0F654A"/>
    <w:rsid w:val="5D1400E2"/>
    <w:rsid w:val="5D140B48"/>
    <w:rsid w:val="5D194186"/>
    <w:rsid w:val="5D203D40"/>
    <w:rsid w:val="5D261BE2"/>
    <w:rsid w:val="5D3D5F84"/>
    <w:rsid w:val="5D404A5F"/>
    <w:rsid w:val="5D550AEC"/>
    <w:rsid w:val="5D666BA5"/>
    <w:rsid w:val="5D693634"/>
    <w:rsid w:val="5D724260"/>
    <w:rsid w:val="5D7E0072"/>
    <w:rsid w:val="5D8E3F91"/>
    <w:rsid w:val="5D8F4C98"/>
    <w:rsid w:val="5D912E40"/>
    <w:rsid w:val="5DBB7E49"/>
    <w:rsid w:val="5DC5356A"/>
    <w:rsid w:val="5DCF5904"/>
    <w:rsid w:val="5DD50248"/>
    <w:rsid w:val="5DD83C04"/>
    <w:rsid w:val="5DE12D83"/>
    <w:rsid w:val="5DE47A17"/>
    <w:rsid w:val="5DEA003F"/>
    <w:rsid w:val="5DF47CB1"/>
    <w:rsid w:val="5DFE3E44"/>
    <w:rsid w:val="5E0740DC"/>
    <w:rsid w:val="5E0D3306"/>
    <w:rsid w:val="5E122F0E"/>
    <w:rsid w:val="5E1A741F"/>
    <w:rsid w:val="5E1C55F2"/>
    <w:rsid w:val="5E253121"/>
    <w:rsid w:val="5E2864D0"/>
    <w:rsid w:val="5E2F2E58"/>
    <w:rsid w:val="5E30773D"/>
    <w:rsid w:val="5E384F22"/>
    <w:rsid w:val="5E3C3FA7"/>
    <w:rsid w:val="5E47553D"/>
    <w:rsid w:val="5E494511"/>
    <w:rsid w:val="5E513468"/>
    <w:rsid w:val="5E5644D2"/>
    <w:rsid w:val="5E663254"/>
    <w:rsid w:val="5E7B340D"/>
    <w:rsid w:val="5E7D53B1"/>
    <w:rsid w:val="5E816FDD"/>
    <w:rsid w:val="5E84479E"/>
    <w:rsid w:val="5E864718"/>
    <w:rsid w:val="5E9652BC"/>
    <w:rsid w:val="5E9713B9"/>
    <w:rsid w:val="5EA91D5E"/>
    <w:rsid w:val="5EAE741D"/>
    <w:rsid w:val="5EB400EF"/>
    <w:rsid w:val="5EB44FC0"/>
    <w:rsid w:val="5EBB31CB"/>
    <w:rsid w:val="5EC17405"/>
    <w:rsid w:val="5EC476A5"/>
    <w:rsid w:val="5ECC6BF6"/>
    <w:rsid w:val="5EDA46DE"/>
    <w:rsid w:val="5EDB1AE4"/>
    <w:rsid w:val="5EEA6A7B"/>
    <w:rsid w:val="5EF35656"/>
    <w:rsid w:val="5EFC730F"/>
    <w:rsid w:val="5EFE04E0"/>
    <w:rsid w:val="5F0451A2"/>
    <w:rsid w:val="5F046BCF"/>
    <w:rsid w:val="5F0F298F"/>
    <w:rsid w:val="5F1658FA"/>
    <w:rsid w:val="5F214EA0"/>
    <w:rsid w:val="5F2B57AF"/>
    <w:rsid w:val="5F2C4FDB"/>
    <w:rsid w:val="5F3657B2"/>
    <w:rsid w:val="5F3720D4"/>
    <w:rsid w:val="5F3E47D0"/>
    <w:rsid w:val="5F4131D6"/>
    <w:rsid w:val="5F456359"/>
    <w:rsid w:val="5F4C092E"/>
    <w:rsid w:val="5F4D40C1"/>
    <w:rsid w:val="5F4D5E57"/>
    <w:rsid w:val="5F51056D"/>
    <w:rsid w:val="5F554693"/>
    <w:rsid w:val="5F59087D"/>
    <w:rsid w:val="5F5D06D4"/>
    <w:rsid w:val="5F5E09A5"/>
    <w:rsid w:val="5F60684F"/>
    <w:rsid w:val="5F620CC4"/>
    <w:rsid w:val="5F677568"/>
    <w:rsid w:val="5F733BFA"/>
    <w:rsid w:val="5F8A06EE"/>
    <w:rsid w:val="5F8B6ACE"/>
    <w:rsid w:val="5F914972"/>
    <w:rsid w:val="5FB05A09"/>
    <w:rsid w:val="5FB14123"/>
    <w:rsid w:val="5FB45C89"/>
    <w:rsid w:val="5FBA395F"/>
    <w:rsid w:val="5FC666B6"/>
    <w:rsid w:val="5FD96BCD"/>
    <w:rsid w:val="5FDA5E94"/>
    <w:rsid w:val="5FE22D60"/>
    <w:rsid w:val="5FE4365D"/>
    <w:rsid w:val="5FEA2837"/>
    <w:rsid w:val="5FEC366F"/>
    <w:rsid w:val="5FFF5224"/>
    <w:rsid w:val="600132ED"/>
    <w:rsid w:val="60057C1D"/>
    <w:rsid w:val="60094E5C"/>
    <w:rsid w:val="600F12A5"/>
    <w:rsid w:val="600F70A7"/>
    <w:rsid w:val="601502C3"/>
    <w:rsid w:val="6027474E"/>
    <w:rsid w:val="60326269"/>
    <w:rsid w:val="603941FE"/>
    <w:rsid w:val="604441A8"/>
    <w:rsid w:val="604553D8"/>
    <w:rsid w:val="60457581"/>
    <w:rsid w:val="604F05EC"/>
    <w:rsid w:val="60545FDB"/>
    <w:rsid w:val="60553510"/>
    <w:rsid w:val="6057346C"/>
    <w:rsid w:val="605A4896"/>
    <w:rsid w:val="605D7869"/>
    <w:rsid w:val="606409F1"/>
    <w:rsid w:val="606F38F4"/>
    <w:rsid w:val="60783253"/>
    <w:rsid w:val="6087332C"/>
    <w:rsid w:val="60890F6F"/>
    <w:rsid w:val="608D3CE6"/>
    <w:rsid w:val="608F0CD7"/>
    <w:rsid w:val="608F2E78"/>
    <w:rsid w:val="60903845"/>
    <w:rsid w:val="60933A2A"/>
    <w:rsid w:val="609B2C68"/>
    <w:rsid w:val="609B5574"/>
    <w:rsid w:val="609D5B65"/>
    <w:rsid w:val="60A633A3"/>
    <w:rsid w:val="60AF79B3"/>
    <w:rsid w:val="60B42061"/>
    <w:rsid w:val="60B430B8"/>
    <w:rsid w:val="60B4686A"/>
    <w:rsid w:val="60B630F3"/>
    <w:rsid w:val="60B71EB3"/>
    <w:rsid w:val="60C223CE"/>
    <w:rsid w:val="60C26A4B"/>
    <w:rsid w:val="60CB1A8B"/>
    <w:rsid w:val="60D1524B"/>
    <w:rsid w:val="60D63D23"/>
    <w:rsid w:val="60D6574E"/>
    <w:rsid w:val="60E857D1"/>
    <w:rsid w:val="60EB5C13"/>
    <w:rsid w:val="60EC2CBA"/>
    <w:rsid w:val="60EF3389"/>
    <w:rsid w:val="60F054A3"/>
    <w:rsid w:val="6106406B"/>
    <w:rsid w:val="610750C1"/>
    <w:rsid w:val="61254671"/>
    <w:rsid w:val="612620F2"/>
    <w:rsid w:val="612B2AB2"/>
    <w:rsid w:val="613921C4"/>
    <w:rsid w:val="61451322"/>
    <w:rsid w:val="614D1512"/>
    <w:rsid w:val="614D5D11"/>
    <w:rsid w:val="6155015B"/>
    <w:rsid w:val="615D137E"/>
    <w:rsid w:val="616913AB"/>
    <w:rsid w:val="616A0BCB"/>
    <w:rsid w:val="6170126D"/>
    <w:rsid w:val="61712CBD"/>
    <w:rsid w:val="617414DF"/>
    <w:rsid w:val="617A2236"/>
    <w:rsid w:val="617B75FE"/>
    <w:rsid w:val="618A1E17"/>
    <w:rsid w:val="61914510"/>
    <w:rsid w:val="61942BFF"/>
    <w:rsid w:val="61955A2F"/>
    <w:rsid w:val="619931C4"/>
    <w:rsid w:val="61A01626"/>
    <w:rsid w:val="61B009D1"/>
    <w:rsid w:val="61B34454"/>
    <w:rsid w:val="61B81661"/>
    <w:rsid w:val="61BF2475"/>
    <w:rsid w:val="61C955FD"/>
    <w:rsid w:val="61CC2D28"/>
    <w:rsid w:val="61D25C9C"/>
    <w:rsid w:val="61E0665A"/>
    <w:rsid w:val="61E16FA2"/>
    <w:rsid w:val="61E72AC7"/>
    <w:rsid w:val="61EA56B3"/>
    <w:rsid w:val="61EE40B9"/>
    <w:rsid w:val="61F20130"/>
    <w:rsid w:val="620307DC"/>
    <w:rsid w:val="62095E3C"/>
    <w:rsid w:val="620B0AE6"/>
    <w:rsid w:val="6212094E"/>
    <w:rsid w:val="62285198"/>
    <w:rsid w:val="622C151B"/>
    <w:rsid w:val="623069FA"/>
    <w:rsid w:val="623F0640"/>
    <w:rsid w:val="623F4DBD"/>
    <w:rsid w:val="62456CC6"/>
    <w:rsid w:val="62563953"/>
    <w:rsid w:val="627C2FDE"/>
    <w:rsid w:val="62854DD6"/>
    <w:rsid w:val="62865532"/>
    <w:rsid w:val="62923DE5"/>
    <w:rsid w:val="62924BD7"/>
    <w:rsid w:val="62A80F69"/>
    <w:rsid w:val="62AA7047"/>
    <w:rsid w:val="62B87124"/>
    <w:rsid w:val="62BF4555"/>
    <w:rsid w:val="62C21B13"/>
    <w:rsid w:val="62C50343"/>
    <w:rsid w:val="62CA0D0A"/>
    <w:rsid w:val="62CF33A7"/>
    <w:rsid w:val="62D91738"/>
    <w:rsid w:val="62E22CD4"/>
    <w:rsid w:val="62FA4629"/>
    <w:rsid w:val="62FD3200"/>
    <w:rsid w:val="63024214"/>
    <w:rsid w:val="630A4755"/>
    <w:rsid w:val="6310767B"/>
    <w:rsid w:val="63143D77"/>
    <w:rsid w:val="631B488C"/>
    <w:rsid w:val="631C34A7"/>
    <w:rsid w:val="632B0B79"/>
    <w:rsid w:val="63327CCE"/>
    <w:rsid w:val="63337E85"/>
    <w:rsid w:val="63423AE9"/>
    <w:rsid w:val="63436BE9"/>
    <w:rsid w:val="63501871"/>
    <w:rsid w:val="635902CD"/>
    <w:rsid w:val="63600718"/>
    <w:rsid w:val="636448F7"/>
    <w:rsid w:val="637F3871"/>
    <w:rsid w:val="637F7D4A"/>
    <w:rsid w:val="6386572E"/>
    <w:rsid w:val="63896059"/>
    <w:rsid w:val="63CA6C14"/>
    <w:rsid w:val="63CD6C26"/>
    <w:rsid w:val="63CE25BF"/>
    <w:rsid w:val="63DA1C8E"/>
    <w:rsid w:val="63E6151F"/>
    <w:rsid w:val="63EA067C"/>
    <w:rsid w:val="63ED1601"/>
    <w:rsid w:val="63F41800"/>
    <w:rsid w:val="63F82E83"/>
    <w:rsid w:val="64050300"/>
    <w:rsid w:val="640F2D06"/>
    <w:rsid w:val="641626FC"/>
    <w:rsid w:val="641A2628"/>
    <w:rsid w:val="64216D80"/>
    <w:rsid w:val="642C2586"/>
    <w:rsid w:val="642E46BB"/>
    <w:rsid w:val="643E4883"/>
    <w:rsid w:val="64426EE7"/>
    <w:rsid w:val="644E03A0"/>
    <w:rsid w:val="64570EDA"/>
    <w:rsid w:val="64586863"/>
    <w:rsid w:val="645E7196"/>
    <w:rsid w:val="64602BDC"/>
    <w:rsid w:val="64690054"/>
    <w:rsid w:val="646D7DE4"/>
    <w:rsid w:val="646E20A6"/>
    <w:rsid w:val="64703B3C"/>
    <w:rsid w:val="64706BBE"/>
    <w:rsid w:val="648F729D"/>
    <w:rsid w:val="649A6243"/>
    <w:rsid w:val="649B12CD"/>
    <w:rsid w:val="649C04A0"/>
    <w:rsid w:val="649C1DFE"/>
    <w:rsid w:val="64A123A9"/>
    <w:rsid w:val="64A947EF"/>
    <w:rsid w:val="64AE02D9"/>
    <w:rsid w:val="64B06866"/>
    <w:rsid w:val="64B6739B"/>
    <w:rsid w:val="64B8674B"/>
    <w:rsid w:val="64C50D09"/>
    <w:rsid w:val="64C60996"/>
    <w:rsid w:val="64C610C5"/>
    <w:rsid w:val="64CF1BF3"/>
    <w:rsid w:val="64D07675"/>
    <w:rsid w:val="64D811FE"/>
    <w:rsid w:val="64D91611"/>
    <w:rsid w:val="64DA2165"/>
    <w:rsid w:val="64E46521"/>
    <w:rsid w:val="64F03EAD"/>
    <w:rsid w:val="64F2095B"/>
    <w:rsid w:val="64FD2364"/>
    <w:rsid w:val="65010FFC"/>
    <w:rsid w:val="650B79D4"/>
    <w:rsid w:val="650C1A58"/>
    <w:rsid w:val="65135B60"/>
    <w:rsid w:val="651B09EE"/>
    <w:rsid w:val="651B7AE6"/>
    <w:rsid w:val="652A1008"/>
    <w:rsid w:val="652A6885"/>
    <w:rsid w:val="652B262D"/>
    <w:rsid w:val="652B6A8A"/>
    <w:rsid w:val="652D418B"/>
    <w:rsid w:val="6543159A"/>
    <w:rsid w:val="6546046E"/>
    <w:rsid w:val="65462238"/>
    <w:rsid w:val="65665DD5"/>
    <w:rsid w:val="65670505"/>
    <w:rsid w:val="656D50AE"/>
    <w:rsid w:val="656D639A"/>
    <w:rsid w:val="656E2517"/>
    <w:rsid w:val="65706D1E"/>
    <w:rsid w:val="65827499"/>
    <w:rsid w:val="658A3829"/>
    <w:rsid w:val="658D7063"/>
    <w:rsid w:val="658E7B9D"/>
    <w:rsid w:val="65923EB0"/>
    <w:rsid w:val="65A16A49"/>
    <w:rsid w:val="65A550CF"/>
    <w:rsid w:val="65AA0B75"/>
    <w:rsid w:val="65AA6E12"/>
    <w:rsid w:val="65AF3ECF"/>
    <w:rsid w:val="65B04B10"/>
    <w:rsid w:val="65BB4041"/>
    <w:rsid w:val="65BE3A7A"/>
    <w:rsid w:val="65C06F7D"/>
    <w:rsid w:val="65C65B0B"/>
    <w:rsid w:val="65D72426"/>
    <w:rsid w:val="65DA41BA"/>
    <w:rsid w:val="65DD48D9"/>
    <w:rsid w:val="65F93B87"/>
    <w:rsid w:val="66015EEC"/>
    <w:rsid w:val="6601732F"/>
    <w:rsid w:val="66023510"/>
    <w:rsid w:val="661474D7"/>
    <w:rsid w:val="6615441B"/>
    <w:rsid w:val="661B6392"/>
    <w:rsid w:val="663C33E7"/>
    <w:rsid w:val="663E784C"/>
    <w:rsid w:val="664F7CE7"/>
    <w:rsid w:val="6657323F"/>
    <w:rsid w:val="665F2DAE"/>
    <w:rsid w:val="66621C02"/>
    <w:rsid w:val="666256C3"/>
    <w:rsid w:val="66686220"/>
    <w:rsid w:val="66770FD9"/>
    <w:rsid w:val="667A63AC"/>
    <w:rsid w:val="6682703B"/>
    <w:rsid w:val="66895406"/>
    <w:rsid w:val="668F6351"/>
    <w:rsid w:val="669A0AA9"/>
    <w:rsid w:val="669C7BE5"/>
    <w:rsid w:val="66A00FA4"/>
    <w:rsid w:val="66A54D49"/>
    <w:rsid w:val="66BC5F1C"/>
    <w:rsid w:val="66CB0282"/>
    <w:rsid w:val="66CC4E5F"/>
    <w:rsid w:val="66CE16B9"/>
    <w:rsid w:val="66D47411"/>
    <w:rsid w:val="66EB2813"/>
    <w:rsid w:val="66ED2A44"/>
    <w:rsid w:val="66F1052B"/>
    <w:rsid w:val="66F50BB5"/>
    <w:rsid w:val="66F96CC1"/>
    <w:rsid w:val="6717075E"/>
    <w:rsid w:val="6720488D"/>
    <w:rsid w:val="6729654F"/>
    <w:rsid w:val="673059BF"/>
    <w:rsid w:val="673E6FCE"/>
    <w:rsid w:val="67444CBD"/>
    <w:rsid w:val="67446771"/>
    <w:rsid w:val="675960D2"/>
    <w:rsid w:val="67622F37"/>
    <w:rsid w:val="6762412B"/>
    <w:rsid w:val="676E7F3D"/>
    <w:rsid w:val="6775534A"/>
    <w:rsid w:val="677862CF"/>
    <w:rsid w:val="677C6FB7"/>
    <w:rsid w:val="67891DEC"/>
    <w:rsid w:val="679272CF"/>
    <w:rsid w:val="6798462F"/>
    <w:rsid w:val="67A63BCC"/>
    <w:rsid w:val="67A858DB"/>
    <w:rsid w:val="67AC35CC"/>
    <w:rsid w:val="67AF15B1"/>
    <w:rsid w:val="67B06428"/>
    <w:rsid w:val="67B65CC6"/>
    <w:rsid w:val="67C87352"/>
    <w:rsid w:val="67D853EE"/>
    <w:rsid w:val="67E222E0"/>
    <w:rsid w:val="67E625EB"/>
    <w:rsid w:val="67EC24B4"/>
    <w:rsid w:val="67EC307A"/>
    <w:rsid w:val="67EF4739"/>
    <w:rsid w:val="67F25F98"/>
    <w:rsid w:val="67F30197"/>
    <w:rsid w:val="67FC37A4"/>
    <w:rsid w:val="67FE4166"/>
    <w:rsid w:val="68070F5D"/>
    <w:rsid w:val="680B583D"/>
    <w:rsid w:val="681810C8"/>
    <w:rsid w:val="682048A9"/>
    <w:rsid w:val="6825574C"/>
    <w:rsid w:val="683B7310"/>
    <w:rsid w:val="68425CDE"/>
    <w:rsid w:val="68434A9E"/>
    <w:rsid w:val="684B1EAA"/>
    <w:rsid w:val="68500343"/>
    <w:rsid w:val="68504BA4"/>
    <w:rsid w:val="68623017"/>
    <w:rsid w:val="68634CCB"/>
    <w:rsid w:val="68637551"/>
    <w:rsid w:val="686E7AE0"/>
    <w:rsid w:val="686F0DE5"/>
    <w:rsid w:val="68780D60"/>
    <w:rsid w:val="687938F3"/>
    <w:rsid w:val="68807533"/>
    <w:rsid w:val="68814582"/>
    <w:rsid w:val="68815C43"/>
    <w:rsid w:val="68863D3E"/>
    <w:rsid w:val="6893111D"/>
    <w:rsid w:val="68953223"/>
    <w:rsid w:val="68AE7313"/>
    <w:rsid w:val="68B07650"/>
    <w:rsid w:val="68B417F3"/>
    <w:rsid w:val="68C401C3"/>
    <w:rsid w:val="68C47B90"/>
    <w:rsid w:val="68C804A3"/>
    <w:rsid w:val="68DE3667"/>
    <w:rsid w:val="68EE7135"/>
    <w:rsid w:val="68FE6CD7"/>
    <w:rsid w:val="6910009B"/>
    <w:rsid w:val="691163F0"/>
    <w:rsid w:val="6912549A"/>
    <w:rsid w:val="691609C9"/>
    <w:rsid w:val="6924760F"/>
    <w:rsid w:val="692F783B"/>
    <w:rsid w:val="6936532B"/>
    <w:rsid w:val="694D7C58"/>
    <w:rsid w:val="694E16EE"/>
    <w:rsid w:val="69524E2E"/>
    <w:rsid w:val="69580D63"/>
    <w:rsid w:val="69597F0F"/>
    <w:rsid w:val="696467EE"/>
    <w:rsid w:val="698066A4"/>
    <w:rsid w:val="69840249"/>
    <w:rsid w:val="69843637"/>
    <w:rsid w:val="69901B87"/>
    <w:rsid w:val="69960847"/>
    <w:rsid w:val="699858F0"/>
    <w:rsid w:val="699C7E6B"/>
    <w:rsid w:val="69A26B47"/>
    <w:rsid w:val="69A833BD"/>
    <w:rsid w:val="69AA1A66"/>
    <w:rsid w:val="69BA5584"/>
    <w:rsid w:val="69CF1CA6"/>
    <w:rsid w:val="69DA5302"/>
    <w:rsid w:val="69DD0FBC"/>
    <w:rsid w:val="69DD26B5"/>
    <w:rsid w:val="69E90E62"/>
    <w:rsid w:val="69EB34E6"/>
    <w:rsid w:val="69EB359B"/>
    <w:rsid w:val="69EF6835"/>
    <w:rsid w:val="69F755AC"/>
    <w:rsid w:val="69FF55EA"/>
    <w:rsid w:val="6A063261"/>
    <w:rsid w:val="6A0F2A90"/>
    <w:rsid w:val="6A140B08"/>
    <w:rsid w:val="6A1F72B7"/>
    <w:rsid w:val="6A2F04CF"/>
    <w:rsid w:val="6A385508"/>
    <w:rsid w:val="6A5012FB"/>
    <w:rsid w:val="6A577583"/>
    <w:rsid w:val="6A5E4BD0"/>
    <w:rsid w:val="6A68311E"/>
    <w:rsid w:val="6A6869A1"/>
    <w:rsid w:val="6A6F632C"/>
    <w:rsid w:val="6A763715"/>
    <w:rsid w:val="6A7A4C9D"/>
    <w:rsid w:val="6A834FCD"/>
    <w:rsid w:val="6A8C2C9D"/>
    <w:rsid w:val="6A9134D5"/>
    <w:rsid w:val="6A9C3978"/>
    <w:rsid w:val="6AA9740B"/>
    <w:rsid w:val="6AB06789"/>
    <w:rsid w:val="6AB3504A"/>
    <w:rsid w:val="6AC34B1A"/>
    <w:rsid w:val="6AC760BC"/>
    <w:rsid w:val="6AD87FA3"/>
    <w:rsid w:val="6AE249A0"/>
    <w:rsid w:val="6AEB34A6"/>
    <w:rsid w:val="6AF533AB"/>
    <w:rsid w:val="6AFB2942"/>
    <w:rsid w:val="6B0420A3"/>
    <w:rsid w:val="6B057B25"/>
    <w:rsid w:val="6B0655A6"/>
    <w:rsid w:val="6B0777A4"/>
    <w:rsid w:val="6B0C4CB3"/>
    <w:rsid w:val="6B0F6F6F"/>
    <w:rsid w:val="6B1B0118"/>
    <w:rsid w:val="6B2546F4"/>
    <w:rsid w:val="6B2D3B9F"/>
    <w:rsid w:val="6B334DFD"/>
    <w:rsid w:val="6B380BB3"/>
    <w:rsid w:val="6B47600F"/>
    <w:rsid w:val="6B557E86"/>
    <w:rsid w:val="6B5D7C2B"/>
    <w:rsid w:val="6B6D4DE4"/>
    <w:rsid w:val="6B7F6169"/>
    <w:rsid w:val="6B8371A0"/>
    <w:rsid w:val="6B877BD0"/>
    <w:rsid w:val="6B8A2393"/>
    <w:rsid w:val="6B8A6BF1"/>
    <w:rsid w:val="6B8B1F7C"/>
    <w:rsid w:val="6B8B57FF"/>
    <w:rsid w:val="6B91745D"/>
    <w:rsid w:val="6B917708"/>
    <w:rsid w:val="6B992596"/>
    <w:rsid w:val="6BAA6221"/>
    <w:rsid w:val="6BAB7FC7"/>
    <w:rsid w:val="6BB256BF"/>
    <w:rsid w:val="6BB457E7"/>
    <w:rsid w:val="6BC51FA8"/>
    <w:rsid w:val="6BC61B65"/>
    <w:rsid w:val="6BC97EFC"/>
    <w:rsid w:val="6BCE0CC9"/>
    <w:rsid w:val="6BEC0EBF"/>
    <w:rsid w:val="6C0A6F29"/>
    <w:rsid w:val="6C12566C"/>
    <w:rsid w:val="6C1D4D6E"/>
    <w:rsid w:val="6C397257"/>
    <w:rsid w:val="6C5042C3"/>
    <w:rsid w:val="6C734478"/>
    <w:rsid w:val="6C7468C6"/>
    <w:rsid w:val="6C797711"/>
    <w:rsid w:val="6C7E3B0E"/>
    <w:rsid w:val="6CA970E7"/>
    <w:rsid w:val="6CAA5C57"/>
    <w:rsid w:val="6CAE465D"/>
    <w:rsid w:val="6CB25261"/>
    <w:rsid w:val="6CB41674"/>
    <w:rsid w:val="6CB443F5"/>
    <w:rsid w:val="6CBA144A"/>
    <w:rsid w:val="6CC96AF6"/>
    <w:rsid w:val="6CD00095"/>
    <w:rsid w:val="6CD848AD"/>
    <w:rsid w:val="6CDA3DB7"/>
    <w:rsid w:val="6CDF6A19"/>
    <w:rsid w:val="6CE13DA8"/>
    <w:rsid w:val="6CE8573C"/>
    <w:rsid w:val="6CEB7619"/>
    <w:rsid w:val="6CEF4498"/>
    <w:rsid w:val="6CF659AB"/>
    <w:rsid w:val="6CFC21DE"/>
    <w:rsid w:val="6D032F1E"/>
    <w:rsid w:val="6D282897"/>
    <w:rsid w:val="6D2A20F0"/>
    <w:rsid w:val="6D2D748E"/>
    <w:rsid w:val="6D301A35"/>
    <w:rsid w:val="6D351FB7"/>
    <w:rsid w:val="6D3617DF"/>
    <w:rsid w:val="6D394D66"/>
    <w:rsid w:val="6D3B351C"/>
    <w:rsid w:val="6D3F61F3"/>
    <w:rsid w:val="6D437DBD"/>
    <w:rsid w:val="6D450054"/>
    <w:rsid w:val="6D465AD5"/>
    <w:rsid w:val="6D4B20D4"/>
    <w:rsid w:val="6D4E7B40"/>
    <w:rsid w:val="6D566F0F"/>
    <w:rsid w:val="6D581273"/>
    <w:rsid w:val="6D602485"/>
    <w:rsid w:val="6D6C6009"/>
    <w:rsid w:val="6D6F3412"/>
    <w:rsid w:val="6D76249C"/>
    <w:rsid w:val="6D7D0763"/>
    <w:rsid w:val="6D836F72"/>
    <w:rsid w:val="6D894D24"/>
    <w:rsid w:val="6D904204"/>
    <w:rsid w:val="6DBB5F10"/>
    <w:rsid w:val="6DBC508B"/>
    <w:rsid w:val="6DC41DD2"/>
    <w:rsid w:val="6DCC7033"/>
    <w:rsid w:val="6DCE6CB3"/>
    <w:rsid w:val="6DDA4029"/>
    <w:rsid w:val="6DDC3A4A"/>
    <w:rsid w:val="6DDD7B6C"/>
    <w:rsid w:val="6DDE3DAF"/>
    <w:rsid w:val="6DE10A9E"/>
    <w:rsid w:val="6DE229D6"/>
    <w:rsid w:val="6DE731FD"/>
    <w:rsid w:val="6DE74169"/>
    <w:rsid w:val="6DF8036A"/>
    <w:rsid w:val="6E023C8A"/>
    <w:rsid w:val="6E073935"/>
    <w:rsid w:val="6E1040CA"/>
    <w:rsid w:val="6E1D4CFB"/>
    <w:rsid w:val="6E2455C4"/>
    <w:rsid w:val="6E2860C8"/>
    <w:rsid w:val="6E2A03C1"/>
    <w:rsid w:val="6E3241BE"/>
    <w:rsid w:val="6E370B72"/>
    <w:rsid w:val="6E3A103C"/>
    <w:rsid w:val="6E401B52"/>
    <w:rsid w:val="6E475B2E"/>
    <w:rsid w:val="6E496CB5"/>
    <w:rsid w:val="6E584699"/>
    <w:rsid w:val="6E5B23F5"/>
    <w:rsid w:val="6E5C26CF"/>
    <w:rsid w:val="6E624FA8"/>
    <w:rsid w:val="6E6457D0"/>
    <w:rsid w:val="6E6D62F1"/>
    <w:rsid w:val="6E6E0DBB"/>
    <w:rsid w:val="6E7724E6"/>
    <w:rsid w:val="6E774C75"/>
    <w:rsid w:val="6E7838C8"/>
    <w:rsid w:val="6E85086A"/>
    <w:rsid w:val="6EAF72DE"/>
    <w:rsid w:val="6EB9136A"/>
    <w:rsid w:val="6EB96C08"/>
    <w:rsid w:val="6EB97A9D"/>
    <w:rsid w:val="6EBD5922"/>
    <w:rsid w:val="6EBE570F"/>
    <w:rsid w:val="6EC45F38"/>
    <w:rsid w:val="6ECE3F0B"/>
    <w:rsid w:val="6ED07C4C"/>
    <w:rsid w:val="6EDF4571"/>
    <w:rsid w:val="6EE35BC6"/>
    <w:rsid w:val="6EE97682"/>
    <w:rsid w:val="6EF10A90"/>
    <w:rsid w:val="6EF36A95"/>
    <w:rsid w:val="6EFC51A7"/>
    <w:rsid w:val="6EFC7DED"/>
    <w:rsid w:val="6EFE062D"/>
    <w:rsid w:val="6F0755F6"/>
    <w:rsid w:val="6F0F75D5"/>
    <w:rsid w:val="6F107292"/>
    <w:rsid w:val="6F2171DB"/>
    <w:rsid w:val="6F2317E3"/>
    <w:rsid w:val="6F236A5E"/>
    <w:rsid w:val="6F2A7FBF"/>
    <w:rsid w:val="6F2C7EF4"/>
    <w:rsid w:val="6F36145D"/>
    <w:rsid w:val="6F383275"/>
    <w:rsid w:val="6F3C6EA4"/>
    <w:rsid w:val="6F3F5890"/>
    <w:rsid w:val="6F401C94"/>
    <w:rsid w:val="6F492AC0"/>
    <w:rsid w:val="6F5013AD"/>
    <w:rsid w:val="6F5668A1"/>
    <w:rsid w:val="6F5A1CBD"/>
    <w:rsid w:val="6F666DD4"/>
    <w:rsid w:val="6F723A22"/>
    <w:rsid w:val="6F750FDA"/>
    <w:rsid w:val="6F7A591A"/>
    <w:rsid w:val="6F7E0D04"/>
    <w:rsid w:val="6F7F13B9"/>
    <w:rsid w:val="6F803484"/>
    <w:rsid w:val="6F811BD9"/>
    <w:rsid w:val="6F8145E3"/>
    <w:rsid w:val="6F8275FE"/>
    <w:rsid w:val="6F975A24"/>
    <w:rsid w:val="6F9C1D1C"/>
    <w:rsid w:val="6FA220B1"/>
    <w:rsid w:val="6FC61EE7"/>
    <w:rsid w:val="6FD51606"/>
    <w:rsid w:val="6FD83DCC"/>
    <w:rsid w:val="6FF3443A"/>
    <w:rsid w:val="6FFF1868"/>
    <w:rsid w:val="70002224"/>
    <w:rsid w:val="7007017A"/>
    <w:rsid w:val="700730DA"/>
    <w:rsid w:val="700E668F"/>
    <w:rsid w:val="701658F3"/>
    <w:rsid w:val="702C760F"/>
    <w:rsid w:val="702D5518"/>
    <w:rsid w:val="70345878"/>
    <w:rsid w:val="703A716F"/>
    <w:rsid w:val="7040745F"/>
    <w:rsid w:val="70455813"/>
    <w:rsid w:val="704F7CB8"/>
    <w:rsid w:val="70504A02"/>
    <w:rsid w:val="7052733B"/>
    <w:rsid w:val="70773A33"/>
    <w:rsid w:val="708017B4"/>
    <w:rsid w:val="70860777"/>
    <w:rsid w:val="708766CE"/>
    <w:rsid w:val="70910C05"/>
    <w:rsid w:val="709D5E85"/>
    <w:rsid w:val="70A257D2"/>
    <w:rsid w:val="70A82C64"/>
    <w:rsid w:val="70B97670"/>
    <w:rsid w:val="70BB05FF"/>
    <w:rsid w:val="70D442DE"/>
    <w:rsid w:val="70DA5678"/>
    <w:rsid w:val="70DB7CA6"/>
    <w:rsid w:val="70DB7E8A"/>
    <w:rsid w:val="70E154E6"/>
    <w:rsid w:val="70EE3ABE"/>
    <w:rsid w:val="70F44A76"/>
    <w:rsid w:val="70F94911"/>
    <w:rsid w:val="70FA444A"/>
    <w:rsid w:val="70FB13E9"/>
    <w:rsid w:val="710E3982"/>
    <w:rsid w:val="7110138E"/>
    <w:rsid w:val="711405DF"/>
    <w:rsid w:val="713219C2"/>
    <w:rsid w:val="71361624"/>
    <w:rsid w:val="713A0C21"/>
    <w:rsid w:val="713E0BD9"/>
    <w:rsid w:val="714B246D"/>
    <w:rsid w:val="715231EC"/>
    <w:rsid w:val="715D0E38"/>
    <w:rsid w:val="715D148D"/>
    <w:rsid w:val="715F4C2D"/>
    <w:rsid w:val="716F1E46"/>
    <w:rsid w:val="717216EC"/>
    <w:rsid w:val="71764128"/>
    <w:rsid w:val="717710F1"/>
    <w:rsid w:val="717E33D9"/>
    <w:rsid w:val="71845ACA"/>
    <w:rsid w:val="718A4992"/>
    <w:rsid w:val="719207E4"/>
    <w:rsid w:val="71920E5A"/>
    <w:rsid w:val="719578EB"/>
    <w:rsid w:val="719678A7"/>
    <w:rsid w:val="71997F9D"/>
    <w:rsid w:val="71A47BB8"/>
    <w:rsid w:val="71A65C9F"/>
    <w:rsid w:val="71A822E7"/>
    <w:rsid w:val="71B31077"/>
    <w:rsid w:val="71B80338"/>
    <w:rsid w:val="71B846B1"/>
    <w:rsid w:val="71BB161A"/>
    <w:rsid w:val="71BB3A25"/>
    <w:rsid w:val="71BD5C71"/>
    <w:rsid w:val="71BE2379"/>
    <w:rsid w:val="71C707C0"/>
    <w:rsid w:val="71C87F28"/>
    <w:rsid w:val="71CA74B6"/>
    <w:rsid w:val="71CF4C44"/>
    <w:rsid w:val="71D07E88"/>
    <w:rsid w:val="71D5087F"/>
    <w:rsid w:val="71E77C9E"/>
    <w:rsid w:val="71E91071"/>
    <w:rsid w:val="71F0647E"/>
    <w:rsid w:val="71F55A87"/>
    <w:rsid w:val="71FA2E5E"/>
    <w:rsid w:val="720D7FAC"/>
    <w:rsid w:val="72121B68"/>
    <w:rsid w:val="72125D04"/>
    <w:rsid w:val="72165B9A"/>
    <w:rsid w:val="721C21D8"/>
    <w:rsid w:val="722114F3"/>
    <w:rsid w:val="72216C4D"/>
    <w:rsid w:val="722F78FB"/>
    <w:rsid w:val="723B536B"/>
    <w:rsid w:val="723C2F8E"/>
    <w:rsid w:val="723D67C5"/>
    <w:rsid w:val="724D4A8A"/>
    <w:rsid w:val="72551003"/>
    <w:rsid w:val="725E540C"/>
    <w:rsid w:val="725F0CB0"/>
    <w:rsid w:val="7266063B"/>
    <w:rsid w:val="726A28C4"/>
    <w:rsid w:val="726A5F44"/>
    <w:rsid w:val="727950DD"/>
    <w:rsid w:val="72856960"/>
    <w:rsid w:val="728F2453"/>
    <w:rsid w:val="72943709"/>
    <w:rsid w:val="729C5A75"/>
    <w:rsid w:val="729D170D"/>
    <w:rsid w:val="72A64CA8"/>
    <w:rsid w:val="72AC4633"/>
    <w:rsid w:val="72B2653C"/>
    <w:rsid w:val="72BD4D32"/>
    <w:rsid w:val="72BF60CA"/>
    <w:rsid w:val="72C267D6"/>
    <w:rsid w:val="72C806E0"/>
    <w:rsid w:val="72CE7313"/>
    <w:rsid w:val="72D92B78"/>
    <w:rsid w:val="72E32678"/>
    <w:rsid w:val="72F13331"/>
    <w:rsid w:val="72F41282"/>
    <w:rsid w:val="72F43AB5"/>
    <w:rsid w:val="72FD78B5"/>
    <w:rsid w:val="7300561D"/>
    <w:rsid w:val="7303633C"/>
    <w:rsid w:val="73085B32"/>
    <w:rsid w:val="731045AD"/>
    <w:rsid w:val="731270E3"/>
    <w:rsid w:val="73206C07"/>
    <w:rsid w:val="732D6EA8"/>
    <w:rsid w:val="733D0D32"/>
    <w:rsid w:val="733E3114"/>
    <w:rsid w:val="734135F9"/>
    <w:rsid w:val="734266EB"/>
    <w:rsid w:val="73441CC9"/>
    <w:rsid w:val="73470BBF"/>
    <w:rsid w:val="73556A75"/>
    <w:rsid w:val="735E2B1F"/>
    <w:rsid w:val="73620C76"/>
    <w:rsid w:val="73784923"/>
    <w:rsid w:val="7388529A"/>
    <w:rsid w:val="73890773"/>
    <w:rsid w:val="738C041D"/>
    <w:rsid w:val="73910253"/>
    <w:rsid w:val="739263A6"/>
    <w:rsid w:val="739A19F7"/>
    <w:rsid w:val="73A03D5A"/>
    <w:rsid w:val="73A242ED"/>
    <w:rsid w:val="73B02BDC"/>
    <w:rsid w:val="73B1065D"/>
    <w:rsid w:val="73B76769"/>
    <w:rsid w:val="73BB0F6D"/>
    <w:rsid w:val="73BC55C6"/>
    <w:rsid w:val="73BE708D"/>
    <w:rsid w:val="73BF3205"/>
    <w:rsid w:val="73CD7E91"/>
    <w:rsid w:val="73D411F1"/>
    <w:rsid w:val="73D9424B"/>
    <w:rsid w:val="73D95A45"/>
    <w:rsid w:val="73DC4278"/>
    <w:rsid w:val="73E133AB"/>
    <w:rsid w:val="73F7756C"/>
    <w:rsid w:val="74046401"/>
    <w:rsid w:val="74155ABC"/>
    <w:rsid w:val="74173885"/>
    <w:rsid w:val="741F359D"/>
    <w:rsid w:val="741F5934"/>
    <w:rsid w:val="742C1494"/>
    <w:rsid w:val="742D2163"/>
    <w:rsid w:val="7435388C"/>
    <w:rsid w:val="7435737E"/>
    <w:rsid w:val="74357542"/>
    <w:rsid w:val="743876ED"/>
    <w:rsid w:val="743A72BC"/>
    <w:rsid w:val="74461562"/>
    <w:rsid w:val="74504CE3"/>
    <w:rsid w:val="745352D3"/>
    <w:rsid w:val="7456289D"/>
    <w:rsid w:val="745A55F3"/>
    <w:rsid w:val="74612C2A"/>
    <w:rsid w:val="74623190"/>
    <w:rsid w:val="74695E4F"/>
    <w:rsid w:val="74742919"/>
    <w:rsid w:val="7479332C"/>
    <w:rsid w:val="74895D6D"/>
    <w:rsid w:val="748C3843"/>
    <w:rsid w:val="749B4964"/>
    <w:rsid w:val="74A356B2"/>
    <w:rsid w:val="74AE4A59"/>
    <w:rsid w:val="74B918D8"/>
    <w:rsid w:val="74C567B5"/>
    <w:rsid w:val="74CE1D2E"/>
    <w:rsid w:val="74D92A63"/>
    <w:rsid w:val="74E16B09"/>
    <w:rsid w:val="74E63259"/>
    <w:rsid w:val="74EA5A7C"/>
    <w:rsid w:val="74F856E8"/>
    <w:rsid w:val="750A4112"/>
    <w:rsid w:val="750C2E98"/>
    <w:rsid w:val="7524053F"/>
    <w:rsid w:val="753226E5"/>
    <w:rsid w:val="753811DE"/>
    <w:rsid w:val="753F32E7"/>
    <w:rsid w:val="754A0851"/>
    <w:rsid w:val="755A7620"/>
    <w:rsid w:val="755D03BB"/>
    <w:rsid w:val="755E741F"/>
    <w:rsid w:val="75626EA8"/>
    <w:rsid w:val="756B0CB3"/>
    <w:rsid w:val="756F513B"/>
    <w:rsid w:val="75784746"/>
    <w:rsid w:val="757C7B44"/>
    <w:rsid w:val="75897895"/>
    <w:rsid w:val="758E216C"/>
    <w:rsid w:val="75971C64"/>
    <w:rsid w:val="759871F9"/>
    <w:rsid w:val="75997DE1"/>
    <w:rsid w:val="759A0161"/>
    <w:rsid w:val="759C3680"/>
    <w:rsid w:val="759E4D19"/>
    <w:rsid w:val="75A25597"/>
    <w:rsid w:val="75B66A43"/>
    <w:rsid w:val="75BB5B07"/>
    <w:rsid w:val="75BE67D4"/>
    <w:rsid w:val="75C2004C"/>
    <w:rsid w:val="75C24FD3"/>
    <w:rsid w:val="75C27143"/>
    <w:rsid w:val="75C759C1"/>
    <w:rsid w:val="75C8039D"/>
    <w:rsid w:val="75D77FE2"/>
    <w:rsid w:val="75D831EF"/>
    <w:rsid w:val="75DE796D"/>
    <w:rsid w:val="75E110E2"/>
    <w:rsid w:val="75E8027D"/>
    <w:rsid w:val="75E96A56"/>
    <w:rsid w:val="75EB5DBB"/>
    <w:rsid w:val="75F66805"/>
    <w:rsid w:val="75F72A95"/>
    <w:rsid w:val="75F85A6D"/>
    <w:rsid w:val="76026F9B"/>
    <w:rsid w:val="76085AA7"/>
    <w:rsid w:val="76093987"/>
    <w:rsid w:val="76192BD1"/>
    <w:rsid w:val="761B715A"/>
    <w:rsid w:val="7621662A"/>
    <w:rsid w:val="7622498C"/>
    <w:rsid w:val="76237BD7"/>
    <w:rsid w:val="76281B03"/>
    <w:rsid w:val="762D64F3"/>
    <w:rsid w:val="762D67F3"/>
    <w:rsid w:val="762D7C18"/>
    <w:rsid w:val="762E20AD"/>
    <w:rsid w:val="762F780A"/>
    <w:rsid w:val="76307777"/>
    <w:rsid w:val="763428FA"/>
    <w:rsid w:val="76344F46"/>
    <w:rsid w:val="7641040A"/>
    <w:rsid w:val="76474E9E"/>
    <w:rsid w:val="7652792C"/>
    <w:rsid w:val="76554CC3"/>
    <w:rsid w:val="765A1151"/>
    <w:rsid w:val="766A0E85"/>
    <w:rsid w:val="7670466E"/>
    <w:rsid w:val="7670607A"/>
    <w:rsid w:val="76755E3D"/>
    <w:rsid w:val="767725B3"/>
    <w:rsid w:val="767E7EFF"/>
    <w:rsid w:val="76957293"/>
    <w:rsid w:val="76B528EA"/>
    <w:rsid w:val="76CB2D49"/>
    <w:rsid w:val="76D5261B"/>
    <w:rsid w:val="76DB438D"/>
    <w:rsid w:val="76E65B02"/>
    <w:rsid w:val="76FC6C97"/>
    <w:rsid w:val="77050A54"/>
    <w:rsid w:val="77062C53"/>
    <w:rsid w:val="770D5E61"/>
    <w:rsid w:val="771A0A72"/>
    <w:rsid w:val="77331E1A"/>
    <w:rsid w:val="77384726"/>
    <w:rsid w:val="773C78AE"/>
    <w:rsid w:val="773F7346"/>
    <w:rsid w:val="77586DD8"/>
    <w:rsid w:val="775A5F60"/>
    <w:rsid w:val="775B4604"/>
    <w:rsid w:val="775E3565"/>
    <w:rsid w:val="776156E3"/>
    <w:rsid w:val="7762556B"/>
    <w:rsid w:val="7765730E"/>
    <w:rsid w:val="77700104"/>
    <w:rsid w:val="777D20D6"/>
    <w:rsid w:val="77923B0E"/>
    <w:rsid w:val="77933B3B"/>
    <w:rsid w:val="77980CB4"/>
    <w:rsid w:val="779A0F48"/>
    <w:rsid w:val="779B69C9"/>
    <w:rsid w:val="779C7F0C"/>
    <w:rsid w:val="779D6649"/>
    <w:rsid w:val="77A2697C"/>
    <w:rsid w:val="77A86D50"/>
    <w:rsid w:val="77A87674"/>
    <w:rsid w:val="77AC1E41"/>
    <w:rsid w:val="77B143BF"/>
    <w:rsid w:val="77B64437"/>
    <w:rsid w:val="77C03DE5"/>
    <w:rsid w:val="77C067C3"/>
    <w:rsid w:val="77C27D4C"/>
    <w:rsid w:val="77D77B10"/>
    <w:rsid w:val="77D86E9F"/>
    <w:rsid w:val="77DC7C23"/>
    <w:rsid w:val="77DD2CB6"/>
    <w:rsid w:val="77DF5443"/>
    <w:rsid w:val="77E242A0"/>
    <w:rsid w:val="77E2575C"/>
    <w:rsid w:val="77EF6453"/>
    <w:rsid w:val="77F273D8"/>
    <w:rsid w:val="780350F4"/>
    <w:rsid w:val="78067419"/>
    <w:rsid w:val="78074939"/>
    <w:rsid w:val="780A4A7F"/>
    <w:rsid w:val="781F09F2"/>
    <w:rsid w:val="7822204E"/>
    <w:rsid w:val="782B45F3"/>
    <w:rsid w:val="782D3D3A"/>
    <w:rsid w:val="782E0791"/>
    <w:rsid w:val="782E2738"/>
    <w:rsid w:val="782F723D"/>
    <w:rsid w:val="78380C42"/>
    <w:rsid w:val="7840274B"/>
    <w:rsid w:val="78557CDE"/>
    <w:rsid w:val="78595382"/>
    <w:rsid w:val="786A06DA"/>
    <w:rsid w:val="787D6B02"/>
    <w:rsid w:val="78864B1F"/>
    <w:rsid w:val="78866D51"/>
    <w:rsid w:val="7888534D"/>
    <w:rsid w:val="788A4367"/>
    <w:rsid w:val="788C75D7"/>
    <w:rsid w:val="78911E31"/>
    <w:rsid w:val="789B4363"/>
    <w:rsid w:val="789E2D74"/>
    <w:rsid w:val="78A32474"/>
    <w:rsid w:val="78B721D6"/>
    <w:rsid w:val="78B75E9C"/>
    <w:rsid w:val="78BD7DA6"/>
    <w:rsid w:val="78C673B0"/>
    <w:rsid w:val="78C8581A"/>
    <w:rsid w:val="78DE5A3C"/>
    <w:rsid w:val="78E56C9A"/>
    <w:rsid w:val="78ED2AF3"/>
    <w:rsid w:val="78F47B2C"/>
    <w:rsid w:val="78F73403"/>
    <w:rsid w:val="78F9732D"/>
    <w:rsid w:val="790B1E32"/>
    <w:rsid w:val="791D3C78"/>
    <w:rsid w:val="79217ACA"/>
    <w:rsid w:val="7922350F"/>
    <w:rsid w:val="792B5470"/>
    <w:rsid w:val="792D0059"/>
    <w:rsid w:val="793144E1"/>
    <w:rsid w:val="79466A05"/>
    <w:rsid w:val="79491FB8"/>
    <w:rsid w:val="79614DB5"/>
    <w:rsid w:val="7967689B"/>
    <w:rsid w:val="7968243D"/>
    <w:rsid w:val="796B3C3F"/>
    <w:rsid w:val="796C55CA"/>
    <w:rsid w:val="796C6412"/>
    <w:rsid w:val="7973541D"/>
    <w:rsid w:val="79761752"/>
    <w:rsid w:val="7978646D"/>
    <w:rsid w:val="797A6567"/>
    <w:rsid w:val="797F66F8"/>
    <w:rsid w:val="798168FA"/>
    <w:rsid w:val="798715FB"/>
    <w:rsid w:val="79952007"/>
    <w:rsid w:val="79956BD5"/>
    <w:rsid w:val="799622B5"/>
    <w:rsid w:val="799803E3"/>
    <w:rsid w:val="79A24E0A"/>
    <w:rsid w:val="79A35FDF"/>
    <w:rsid w:val="79A66350"/>
    <w:rsid w:val="79A757A5"/>
    <w:rsid w:val="79B06E32"/>
    <w:rsid w:val="79BD7948"/>
    <w:rsid w:val="79D00BAF"/>
    <w:rsid w:val="79D22D8D"/>
    <w:rsid w:val="79D34806"/>
    <w:rsid w:val="79D47DEC"/>
    <w:rsid w:val="79E00B0E"/>
    <w:rsid w:val="79E17235"/>
    <w:rsid w:val="79E302A2"/>
    <w:rsid w:val="79E3467D"/>
    <w:rsid w:val="79E8341B"/>
    <w:rsid w:val="79EE7E78"/>
    <w:rsid w:val="79FF3899"/>
    <w:rsid w:val="7A077084"/>
    <w:rsid w:val="7A1601DC"/>
    <w:rsid w:val="7A1C0596"/>
    <w:rsid w:val="7A2A7EF1"/>
    <w:rsid w:val="7A33417F"/>
    <w:rsid w:val="7A3758D0"/>
    <w:rsid w:val="7A4024A0"/>
    <w:rsid w:val="7A4C3D34"/>
    <w:rsid w:val="7A522743"/>
    <w:rsid w:val="7A554FA8"/>
    <w:rsid w:val="7A647EE2"/>
    <w:rsid w:val="7A6648DE"/>
    <w:rsid w:val="7A703C40"/>
    <w:rsid w:val="7A760EEC"/>
    <w:rsid w:val="7A7725FA"/>
    <w:rsid w:val="7A795AFD"/>
    <w:rsid w:val="7A7E1615"/>
    <w:rsid w:val="7A7E35FC"/>
    <w:rsid w:val="7A890316"/>
    <w:rsid w:val="7A8E63F6"/>
    <w:rsid w:val="7A8F711B"/>
    <w:rsid w:val="7A905722"/>
    <w:rsid w:val="7A91191E"/>
    <w:rsid w:val="7A932C49"/>
    <w:rsid w:val="7A9367CB"/>
    <w:rsid w:val="7A937059"/>
    <w:rsid w:val="7A9A0280"/>
    <w:rsid w:val="7A9B522E"/>
    <w:rsid w:val="7AA5702C"/>
    <w:rsid w:val="7AA6549B"/>
    <w:rsid w:val="7AA65C86"/>
    <w:rsid w:val="7AAE3BAD"/>
    <w:rsid w:val="7AB236D8"/>
    <w:rsid w:val="7AB26F5C"/>
    <w:rsid w:val="7AB93293"/>
    <w:rsid w:val="7AC5017B"/>
    <w:rsid w:val="7AC56B0A"/>
    <w:rsid w:val="7ADA2578"/>
    <w:rsid w:val="7AE07FD5"/>
    <w:rsid w:val="7AE168A3"/>
    <w:rsid w:val="7AE7798E"/>
    <w:rsid w:val="7AF01F55"/>
    <w:rsid w:val="7AF22571"/>
    <w:rsid w:val="7AF976D0"/>
    <w:rsid w:val="7AFD5FD5"/>
    <w:rsid w:val="7B0720CF"/>
    <w:rsid w:val="7B0F238A"/>
    <w:rsid w:val="7B161C9A"/>
    <w:rsid w:val="7B2601E7"/>
    <w:rsid w:val="7B260B4E"/>
    <w:rsid w:val="7B284396"/>
    <w:rsid w:val="7B2D40D8"/>
    <w:rsid w:val="7B302A2E"/>
    <w:rsid w:val="7B3235F6"/>
    <w:rsid w:val="7B361733"/>
    <w:rsid w:val="7B4C0AD3"/>
    <w:rsid w:val="7B4C0E47"/>
    <w:rsid w:val="7B5F5E1A"/>
    <w:rsid w:val="7B6820B2"/>
    <w:rsid w:val="7B69224B"/>
    <w:rsid w:val="7B7946C0"/>
    <w:rsid w:val="7B855957"/>
    <w:rsid w:val="7B8D2142"/>
    <w:rsid w:val="7B8E3ADA"/>
    <w:rsid w:val="7B9337D7"/>
    <w:rsid w:val="7B974B83"/>
    <w:rsid w:val="7BB20BB7"/>
    <w:rsid w:val="7BB26AFF"/>
    <w:rsid w:val="7BB64C4D"/>
    <w:rsid w:val="7BB7696A"/>
    <w:rsid w:val="7BC36A75"/>
    <w:rsid w:val="7BCF11FE"/>
    <w:rsid w:val="7BD44AB5"/>
    <w:rsid w:val="7BDA0579"/>
    <w:rsid w:val="7BE80F25"/>
    <w:rsid w:val="7BEB6F40"/>
    <w:rsid w:val="7BEF6963"/>
    <w:rsid w:val="7C106E98"/>
    <w:rsid w:val="7C1428D3"/>
    <w:rsid w:val="7C1C35A7"/>
    <w:rsid w:val="7C2C1B15"/>
    <w:rsid w:val="7C3509D3"/>
    <w:rsid w:val="7C357C3A"/>
    <w:rsid w:val="7C39719E"/>
    <w:rsid w:val="7C3C7A60"/>
    <w:rsid w:val="7C45431D"/>
    <w:rsid w:val="7C501E80"/>
    <w:rsid w:val="7C514DD6"/>
    <w:rsid w:val="7C6E59FC"/>
    <w:rsid w:val="7C6F1C61"/>
    <w:rsid w:val="7C6F2735"/>
    <w:rsid w:val="7C6F5781"/>
    <w:rsid w:val="7C775E66"/>
    <w:rsid w:val="7C7F4754"/>
    <w:rsid w:val="7C911CE1"/>
    <w:rsid w:val="7C914B3E"/>
    <w:rsid w:val="7CA95D92"/>
    <w:rsid w:val="7CAB0B3E"/>
    <w:rsid w:val="7CAD001B"/>
    <w:rsid w:val="7CC31C08"/>
    <w:rsid w:val="7CD24845"/>
    <w:rsid w:val="7CD50349"/>
    <w:rsid w:val="7CD53A37"/>
    <w:rsid w:val="7CEB2E8D"/>
    <w:rsid w:val="7CEF4E07"/>
    <w:rsid w:val="7D025527"/>
    <w:rsid w:val="7D0837BF"/>
    <w:rsid w:val="7D1144BC"/>
    <w:rsid w:val="7D146964"/>
    <w:rsid w:val="7D25352B"/>
    <w:rsid w:val="7D2C022A"/>
    <w:rsid w:val="7D2D5A89"/>
    <w:rsid w:val="7D3219D5"/>
    <w:rsid w:val="7D38268C"/>
    <w:rsid w:val="7D4071CA"/>
    <w:rsid w:val="7D4403B3"/>
    <w:rsid w:val="7D535CD7"/>
    <w:rsid w:val="7D541AAE"/>
    <w:rsid w:val="7D567671"/>
    <w:rsid w:val="7D646F16"/>
    <w:rsid w:val="7D6C475E"/>
    <w:rsid w:val="7D7176D3"/>
    <w:rsid w:val="7D79646A"/>
    <w:rsid w:val="7D8561DB"/>
    <w:rsid w:val="7D882AC8"/>
    <w:rsid w:val="7D8A08F0"/>
    <w:rsid w:val="7D9A6837"/>
    <w:rsid w:val="7D9D6CDF"/>
    <w:rsid w:val="7DA17DB6"/>
    <w:rsid w:val="7DA216E7"/>
    <w:rsid w:val="7DAD7BBE"/>
    <w:rsid w:val="7DB627B4"/>
    <w:rsid w:val="7DC477E3"/>
    <w:rsid w:val="7DCA3430"/>
    <w:rsid w:val="7DD2549E"/>
    <w:rsid w:val="7DD4609E"/>
    <w:rsid w:val="7DDD0501"/>
    <w:rsid w:val="7DE51372"/>
    <w:rsid w:val="7DF52D94"/>
    <w:rsid w:val="7DF612B7"/>
    <w:rsid w:val="7DFA2502"/>
    <w:rsid w:val="7DFD0C42"/>
    <w:rsid w:val="7DFE3170"/>
    <w:rsid w:val="7E1562E9"/>
    <w:rsid w:val="7E18059A"/>
    <w:rsid w:val="7E1C215D"/>
    <w:rsid w:val="7E203097"/>
    <w:rsid w:val="7E2F2716"/>
    <w:rsid w:val="7E350D9C"/>
    <w:rsid w:val="7E4435B5"/>
    <w:rsid w:val="7E4E2DEB"/>
    <w:rsid w:val="7E5167F7"/>
    <w:rsid w:val="7E580F62"/>
    <w:rsid w:val="7E5C0C5B"/>
    <w:rsid w:val="7E5D46E7"/>
    <w:rsid w:val="7E5E590F"/>
    <w:rsid w:val="7E5F30E1"/>
    <w:rsid w:val="7E6805CF"/>
    <w:rsid w:val="7E6B3BD4"/>
    <w:rsid w:val="7E6F1FC0"/>
    <w:rsid w:val="7E733D43"/>
    <w:rsid w:val="7E82145A"/>
    <w:rsid w:val="7E8A59B9"/>
    <w:rsid w:val="7E935AFB"/>
    <w:rsid w:val="7EA62B29"/>
    <w:rsid w:val="7EBE50B4"/>
    <w:rsid w:val="7EC74689"/>
    <w:rsid w:val="7ECE7610"/>
    <w:rsid w:val="7ECF53BF"/>
    <w:rsid w:val="7ED026F7"/>
    <w:rsid w:val="7ED45EFD"/>
    <w:rsid w:val="7ED71D6B"/>
    <w:rsid w:val="7ED75F84"/>
    <w:rsid w:val="7EE93DFF"/>
    <w:rsid w:val="7EF746DD"/>
    <w:rsid w:val="7EFF756B"/>
    <w:rsid w:val="7F014E9E"/>
    <w:rsid w:val="7F100CEC"/>
    <w:rsid w:val="7F180930"/>
    <w:rsid w:val="7F27742A"/>
    <w:rsid w:val="7F29641F"/>
    <w:rsid w:val="7F311F38"/>
    <w:rsid w:val="7F3C546B"/>
    <w:rsid w:val="7F4968B4"/>
    <w:rsid w:val="7F4B5213"/>
    <w:rsid w:val="7F5357F3"/>
    <w:rsid w:val="7F550615"/>
    <w:rsid w:val="7F57044A"/>
    <w:rsid w:val="7F730785"/>
    <w:rsid w:val="7F7A098F"/>
    <w:rsid w:val="7F7B3BE0"/>
    <w:rsid w:val="7F8442A1"/>
    <w:rsid w:val="7F8477C4"/>
    <w:rsid w:val="7F862CC7"/>
    <w:rsid w:val="7F95238B"/>
    <w:rsid w:val="7F981123"/>
    <w:rsid w:val="7F9C4E6B"/>
    <w:rsid w:val="7F9D7069"/>
    <w:rsid w:val="7FAD3C95"/>
    <w:rsid w:val="7FB65A15"/>
    <w:rsid w:val="7FB9625D"/>
    <w:rsid w:val="7FC32B2C"/>
    <w:rsid w:val="7FC76D8A"/>
    <w:rsid w:val="7FC90A85"/>
    <w:rsid w:val="7FCA4E23"/>
    <w:rsid w:val="7FCE3BE0"/>
    <w:rsid w:val="7FCE7ECF"/>
    <w:rsid w:val="7FD02878"/>
    <w:rsid w:val="7FD14040"/>
    <w:rsid w:val="7FD40848"/>
    <w:rsid w:val="7FF24575"/>
    <w:rsid w:val="7FFA5204"/>
    <w:rsid w:val="7FFD09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4"/>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5"/>
    <w:qFormat/>
    <w:uiPriority w:val="0"/>
    <w:pPr>
      <w:outlineLvl w:val="1"/>
    </w:pPr>
    <w:rPr>
      <w:iCs/>
      <w:szCs w:val="28"/>
    </w:rPr>
  </w:style>
  <w:style w:type="paragraph" w:styleId="4">
    <w:name w:val="heading 3"/>
    <w:basedOn w:val="3"/>
    <w:next w:val="1"/>
    <w:link w:val="52"/>
    <w:unhideWhenUsed/>
    <w:qFormat/>
    <w:uiPriority w:val="9"/>
    <w:pPr>
      <w:keepLines/>
      <w:spacing w:before="260" w:after="260" w:line="416" w:lineRule="auto"/>
      <w:outlineLvl w:val="2"/>
    </w:pPr>
    <w:rPr>
      <w:sz w:val="32"/>
      <w:szCs w:val="32"/>
    </w:rPr>
  </w:style>
  <w:style w:type="paragraph" w:styleId="5">
    <w:name w:val="heading 4"/>
    <w:basedOn w:val="1"/>
    <w:next w:val="1"/>
    <w:link w:val="71"/>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List 3"/>
    <w:basedOn w:val="7"/>
    <w:qFormat/>
    <w:uiPriority w:val="0"/>
    <w:pPr>
      <w:ind w:left="1135"/>
    </w:pPr>
  </w:style>
  <w:style w:type="paragraph" w:styleId="7">
    <w:name w:val="List 2"/>
    <w:basedOn w:val="8"/>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8">
    <w:name w:val="List"/>
    <w:basedOn w:val="1"/>
    <w:semiHidden/>
    <w:unhideWhenUsed/>
    <w:qFormat/>
    <w:uiPriority w:val="99"/>
    <w:pPr>
      <w:ind w:left="200" w:hanging="200" w:hangingChars="200"/>
      <w:contextualSpacing/>
    </w:pPr>
  </w:style>
  <w:style w:type="paragraph" w:styleId="9">
    <w:name w:val="caption"/>
    <w:basedOn w:val="1"/>
    <w:next w:val="1"/>
    <w:unhideWhenUsed/>
    <w:qFormat/>
    <w:uiPriority w:val="35"/>
    <w:rPr>
      <w:rFonts w:ascii="Cambria" w:hAnsi="Cambria" w:eastAsia="黑体"/>
      <w:szCs w:val="20"/>
    </w:rPr>
  </w:style>
  <w:style w:type="paragraph" w:styleId="10">
    <w:name w:val="Document Map"/>
    <w:basedOn w:val="1"/>
    <w:link w:val="32"/>
    <w:semiHidden/>
    <w:unhideWhenUsed/>
    <w:qFormat/>
    <w:uiPriority w:val="99"/>
    <w:rPr>
      <w:rFonts w:ascii="宋体" w:eastAsia="宋体"/>
      <w:sz w:val="18"/>
      <w:szCs w:val="18"/>
    </w:rPr>
  </w:style>
  <w:style w:type="paragraph" w:styleId="11">
    <w:name w:val="annotation text"/>
    <w:basedOn w:val="1"/>
    <w:link w:val="63"/>
    <w:unhideWhenUsed/>
    <w:qFormat/>
    <w:uiPriority w:val="0"/>
  </w:style>
  <w:style w:type="paragraph" w:styleId="12">
    <w:name w:val="Body Text"/>
    <w:basedOn w:val="1"/>
    <w:link w:val="26"/>
    <w:qFormat/>
    <w:uiPriority w:val="0"/>
    <w:pPr>
      <w:spacing w:after="120"/>
      <w:jc w:val="both"/>
    </w:pPr>
    <w:rPr>
      <w:rFonts w:eastAsia="MS Mincho"/>
      <w:lang w:val="zh-CN"/>
    </w:rPr>
  </w:style>
  <w:style w:type="paragraph" w:styleId="13">
    <w:name w:val="Date"/>
    <w:basedOn w:val="1"/>
    <w:next w:val="1"/>
    <w:link w:val="49"/>
    <w:semiHidden/>
    <w:unhideWhenUsed/>
    <w:qFormat/>
    <w:uiPriority w:val="99"/>
    <w:pPr>
      <w:ind w:left="100" w:leftChars="2500"/>
    </w:pPr>
  </w:style>
  <w:style w:type="paragraph" w:styleId="14">
    <w:name w:val="Balloon Text"/>
    <w:basedOn w:val="1"/>
    <w:link w:val="30"/>
    <w:semiHidden/>
    <w:unhideWhenUsed/>
    <w:qFormat/>
    <w:uiPriority w:val="99"/>
    <w:rPr>
      <w:sz w:val="18"/>
      <w:szCs w:val="18"/>
      <w:lang w:val="zh-CN"/>
    </w:rPr>
  </w:style>
  <w:style w:type="paragraph" w:styleId="15">
    <w:name w:val="footer"/>
    <w:basedOn w:val="16"/>
    <w:link w:val="29"/>
    <w:unhideWhenUsed/>
    <w:qFormat/>
    <w:uiPriority w:val="99"/>
    <w:pPr>
      <w:tabs>
        <w:tab w:val="center" w:pos="4153"/>
        <w:tab w:val="center" w:pos="4536"/>
        <w:tab w:val="right" w:pos="8306"/>
        <w:tab w:val="right" w:pos="9072"/>
      </w:tabs>
      <w:snapToGrid w:val="0"/>
    </w:pPr>
    <w:rPr>
      <w:sz w:val="18"/>
      <w:szCs w:val="18"/>
    </w:rPr>
  </w:style>
  <w:style w:type="paragraph" w:styleId="16">
    <w:name w:val="header"/>
    <w:basedOn w:val="1"/>
    <w:link w:val="27"/>
    <w:qFormat/>
    <w:uiPriority w:val="0"/>
    <w:pPr>
      <w:tabs>
        <w:tab w:val="center" w:pos="4536"/>
        <w:tab w:val="right" w:pos="9072"/>
      </w:tabs>
    </w:pPr>
    <w:rPr>
      <w:rFonts w:ascii="Arial" w:hAnsi="Arial" w:eastAsia="MS Mincho"/>
      <w:b/>
      <w:lang w:val="zh-CN"/>
    </w:rPr>
  </w:style>
  <w:style w:type="paragraph" w:styleId="17">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9">
    <w:name w:val="Table Grid"/>
    <w:basedOn w:val="18"/>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semiHidden/>
    <w:qFormat/>
    <w:uiPriority w:val="0"/>
  </w:style>
  <w:style w:type="character" w:styleId="22">
    <w:name w:val="Hyperlink"/>
    <w:qFormat/>
    <w:uiPriority w:val="99"/>
    <w:rPr>
      <w:color w:val="0000FF"/>
      <w:u w:val="single"/>
    </w:rPr>
  </w:style>
  <w:style w:type="character" w:styleId="23">
    <w:name w:val="annotation reference"/>
    <w:basedOn w:val="20"/>
    <w:unhideWhenUsed/>
    <w:qFormat/>
    <w:uiPriority w:val="99"/>
    <w:rPr>
      <w:sz w:val="21"/>
      <w:szCs w:val="21"/>
    </w:rPr>
  </w:style>
  <w:style w:type="character" w:customStyle="1" w:styleId="24">
    <w:name w:val="标题 1 字符"/>
    <w:link w:val="2"/>
    <w:qFormat/>
    <w:uiPriority w:val="0"/>
    <w:rPr>
      <w:rFonts w:ascii="Helvetica" w:hAnsi="Helvetica" w:eastAsia="MS Mincho" w:cs="Times New Roman"/>
      <w:b/>
      <w:bCs/>
      <w:kern w:val="32"/>
      <w:sz w:val="28"/>
      <w:szCs w:val="32"/>
      <w:lang w:val="zh-CN" w:eastAsia="en-US"/>
    </w:rPr>
  </w:style>
  <w:style w:type="character" w:customStyle="1" w:styleId="25">
    <w:name w:val="标题 2 字符"/>
    <w:link w:val="3"/>
    <w:qFormat/>
    <w:uiPriority w:val="0"/>
    <w:rPr>
      <w:rFonts w:ascii="Helvetica" w:hAnsi="Helvetica" w:eastAsia="MS Mincho" w:cs="Times New Roman"/>
      <w:b/>
      <w:bCs/>
      <w:iCs/>
      <w:kern w:val="0"/>
      <w:sz w:val="20"/>
      <w:szCs w:val="28"/>
      <w:lang w:val="zh-CN" w:eastAsia="en-US"/>
    </w:rPr>
  </w:style>
  <w:style w:type="character" w:customStyle="1" w:styleId="26">
    <w:name w:val="正文文本 字符"/>
    <w:link w:val="12"/>
    <w:qFormat/>
    <w:uiPriority w:val="0"/>
    <w:rPr>
      <w:rFonts w:ascii="Times New Roman" w:hAnsi="Times New Roman" w:eastAsia="MS Mincho" w:cs="Times New Roman"/>
      <w:kern w:val="0"/>
      <w:sz w:val="20"/>
      <w:szCs w:val="24"/>
      <w:lang w:val="zh-CN" w:eastAsia="en-US"/>
    </w:rPr>
  </w:style>
  <w:style w:type="character" w:customStyle="1" w:styleId="27">
    <w:name w:val="页眉 字符"/>
    <w:link w:val="16"/>
    <w:qFormat/>
    <w:uiPriority w:val="0"/>
    <w:rPr>
      <w:rFonts w:ascii="Arial" w:hAnsi="Arial" w:eastAsia="MS Mincho" w:cs="Times New Roman"/>
      <w:b/>
      <w:kern w:val="0"/>
      <w:sz w:val="20"/>
      <w:szCs w:val="24"/>
      <w:lang w:val="zh-CN" w:eastAsia="en-US"/>
    </w:rPr>
  </w:style>
  <w:style w:type="paragraph" w:customStyle="1" w:styleId="28">
    <w:name w:val="Paragraphe de liste"/>
    <w:basedOn w:val="1"/>
    <w:qFormat/>
    <w:uiPriority w:val="34"/>
    <w:pPr>
      <w:ind w:left="720"/>
    </w:pPr>
    <w:rPr>
      <w:rFonts w:eastAsia="宋体"/>
      <w:sz w:val="24"/>
      <w:lang w:val="fr-FR" w:eastAsia="zh-CN"/>
    </w:rPr>
  </w:style>
  <w:style w:type="character" w:customStyle="1" w:styleId="29">
    <w:name w:val="页脚 字符"/>
    <w:link w:val="15"/>
    <w:qFormat/>
    <w:uiPriority w:val="99"/>
    <w:rPr>
      <w:rFonts w:ascii="Times New Roman" w:hAnsi="Times New Roman" w:eastAsia="Times New Roman" w:cs="Times New Roman"/>
      <w:kern w:val="0"/>
      <w:sz w:val="18"/>
      <w:szCs w:val="18"/>
      <w:lang w:eastAsia="en-US"/>
    </w:rPr>
  </w:style>
  <w:style w:type="character" w:customStyle="1" w:styleId="30">
    <w:name w:val="批注框文本 字符"/>
    <w:link w:val="14"/>
    <w:semiHidden/>
    <w:qFormat/>
    <w:uiPriority w:val="99"/>
    <w:rPr>
      <w:rFonts w:ascii="Times New Roman" w:hAnsi="Times New Roman" w:eastAsia="Times New Roman" w:cs="Times New Roman"/>
      <w:kern w:val="0"/>
      <w:sz w:val="18"/>
      <w:szCs w:val="18"/>
      <w:lang w:eastAsia="en-US"/>
    </w:rPr>
  </w:style>
  <w:style w:type="paragraph" w:styleId="31">
    <w:name w:val="List Paragraph"/>
    <w:basedOn w:val="1"/>
    <w:link w:val="47"/>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2">
    <w:name w:val="文档结构图 字符"/>
    <w:link w:val="10"/>
    <w:semiHidden/>
    <w:qFormat/>
    <w:uiPriority w:val="99"/>
    <w:rPr>
      <w:rFonts w:ascii="宋体" w:hAnsi="Times New Roman"/>
      <w:sz w:val="18"/>
      <w:szCs w:val="18"/>
      <w:lang w:eastAsia="en-US"/>
    </w:rPr>
  </w:style>
  <w:style w:type="paragraph" w:customStyle="1" w:styleId="33">
    <w:name w:val="B1"/>
    <w:basedOn w:val="8"/>
    <w:link w:val="34"/>
    <w:qFormat/>
    <w:uiPriority w:val="0"/>
    <w:pPr>
      <w:spacing w:after="180"/>
      <w:ind w:left="568" w:hanging="284" w:firstLineChars="0"/>
      <w:contextualSpacing w:val="0"/>
    </w:pPr>
    <w:rPr>
      <w:rFonts w:eastAsia="宋体"/>
      <w:szCs w:val="20"/>
      <w:lang w:val="en-GB"/>
    </w:rPr>
  </w:style>
  <w:style w:type="character" w:customStyle="1" w:styleId="34">
    <w:name w:val="B1 (文字)"/>
    <w:link w:val="33"/>
    <w:qFormat/>
    <w:locked/>
    <w:uiPriority w:val="0"/>
    <w:rPr>
      <w:rFonts w:ascii="Times New Roman" w:hAnsi="Times New Roman"/>
      <w:lang w:val="en-GB" w:eastAsia="en-US"/>
    </w:rPr>
  </w:style>
  <w:style w:type="character" w:customStyle="1" w:styleId="35">
    <w:name w:val="B1 Char1"/>
    <w:qFormat/>
    <w:uiPriority w:val="0"/>
    <w:rPr>
      <w:lang w:val="en-GB" w:eastAsia="en-US"/>
    </w:rPr>
  </w:style>
  <w:style w:type="paragraph" w:customStyle="1" w:styleId="36">
    <w:name w:val="TAH"/>
    <w:basedOn w:val="37"/>
    <w:link w:val="42"/>
    <w:qFormat/>
    <w:uiPriority w:val="0"/>
    <w:rPr>
      <w:b/>
    </w:rPr>
  </w:style>
  <w:style w:type="paragraph" w:customStyle="1" w:styleId="37">
    <w:name w:val="TAC"/>
    <w:basedOn w:val="38"/>
    <w:link w:val="41"/>
    <w:qFormat/>
    <w:uiPriority w:val="0"/>
    <w:pPr>
      <w:jc w:val="center"/>
    </w:pPr>
    <w:rPr>
      <w:lang w:eastAsia="zh-CN"/>
    </w:rPr>
  </w:style>
  <w:style w:type="paragraph" w:customStyle="1" w:styleId="38">
    <w:name w:val="TAL"/>
    <w:basedOn w:val="1"/>
    <w:link w:val="51"/>
    <w:qFormat/>
    <w:uiPriority w:val="0"/>
    <w:pPr>
      <w:keepNext/>
      <w:keepLines/>
    </w:pPr>
    <w:rPr>
      <w:rFonts w:ascii="Arial" w:hAnsi="Arial" w:eastAsia="宋体"/>
      <w:sz w:val="18"/>
      <w:szCs w:val="20"/>
      <w:lang w:val="en-GB"/>
    </w:rPr>
  </w:style>
  <w:style w:type="paragraph" w:customStyle="1" w:styleId="39">
    <w:name w:val="TH"/>
    <w:basedOn w:val="1"/>
    <w:link w:val="40"/>
    <w:qFormat/>
    <w:uiPriority w:val="0"/>
    <w:pPr>
      <w:keepNext/>
      <w:keepLines/>
      <w:spacing w:before="60" w:after="180"/>
      <w:jc w:val="center"/>
    </w:pPr>
    <w:rPr>
      <w:rFonts w:ascii="Arial" w:hAnsi="Arial" w:eastAsia="宋体"/>
      <w:b/>
      <w:szCs w:val="20"/>
      <w:lang w:val="en-GB" w:eastAsia="zh-CN"/>
    </w:rPr>
  </w:style>
  <w:style w:type="character" w:customStyle="1" w:styleId="40">
    <w:name w:val="TH Char"/>
    <w:link w:val="39"/>
    <w:qFormat/>
    <w:uiPriority w:val="0"/>
    <w:rPr>
      <w:rFonts w:ascii="Arial" w:hAnsi="Arial" w:eastAsia="宋体"/>
      <w:b/>
      <w:lang w:val="en-GB" w:eastAsia="zh-CN"/>
    </w:rPr>
  </w:style>
  <w:style w:type="character" w:customStyle="1" w:styleId="41">
    <w:name w:val="TAC Char"/>
    <w:link w:val="37"/>
    <w:qFormat/>
    <w:uiPriority w:val="0"/>
    <w:rPr>
      <w:rFonts w:ascii="Arial" w:hAnsi="Arial" w:eastAsia="宋体"/>
      <w:sz w:val="18"/>
      <w:lang w:val="en-GB" w:eastAsia="zh-CN"/>
    </w:rPr>
  </w:style>
  <w:style w:type="character" w:customStyle="1" w:styleId="42">
    <w:name w:val="TAH Car"/>
    <w:link w:val="36"/>
    <w:qFormat/>
    <w:uiPriority w:val="0"/>
    <w:rPr>
      <w:rFonts w:ascii="Arial" w:hAnsi="Arial" w:eastAsia="宋体"/>
      <w:b/>
      <w:sz w:val="18"/>
      <w:lang w:val="en-GB" w:eastAsia="zh-CN"/>
    </w:rPr>
  </w:style>
  <w:style w:type="paragraph" w:customStyle="1" w:styleId="43">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4">
    <w:name w:val="TAR"/>
    <w:basedOn w:val="1"/>
    <w:qFormat/>
    <w:uiPriority w:val="0"/>
    <w:pPr>
      <w:keepNext/>
      <w:keepLines/>
      <w:jc w:val="right"/>
    </w:pPr>
    <w:rPr>
      <w:rFonts w:ascii="Arial" w:hAnsi="Arial" w:eastAsia="宋体"/>
      <w:sz w:val="18"/>
      <w:szCs w:val="20"/>
      <w:lang w:val="en-GB"/>
    </w:rPr>
  </w:style>
  <w:style w:type="paragraph" w:customStyle="1" w:styleId="45">
    <w:name w:val="RAN4 proposal"/>
    <w:basedOn w:val="9"/>
    <w:next w:val="1"/>
    <w:link w:val="46"/>
    <w:qFormat/>
    <w:uiPriority w:val="0"/>
    <w:pPr>
      <w:numPr>
        <w:ilvl w:val="0"/>
        <w:numId w:val="2"/>
      </w:numPr>
      <w:spacing w:after="200"/>
      <w:ind w:left="0" w:firstLine="0"/>
    </w:pPr>
    <w:rPr>
      <w:rFonts w:ascii="Times New Roman" w:hAnsi="Times New Roman" w:eastAsia="宋体"/>
      <w:b/>
      <w:iCs/>
      <w:szCs w:val="18"/>
    </w:rPr>
  </w:style>
  <w:style w:type="character" w:customStyle="1" w:styleId="46">
    <w:name w:val="RAN4 proposal Char"/>
    <w:link w:val="45"/>
    <w:qFormat/>
    <w:uiPriority w:val="0"/>
    <w:rPr>
      <w:rFonts w:ascii="Times New Roman" w:hAnsi="Times New Roman"/>
      <w:b/>
      <w:iCs/>
      <w:szCs w:val="18"/>
      <w:lang w:eastAsia="en-US"/>
    </w:rPr>
  </w:style>
  <w:style w:type="character" w:customStyle="1" w:styleId="47">
    <w:name w:val="列出段落 字符"/>
    <w:link w:val="31"/>
    <w:qFormat/>
    <w:uiPriority w:val="34"/>
    <w:rPr>
      <w:kern w:val="2"/>
      <w:sz w:val="21"/>
      <w:szCs w:val="22"/>
    </w:rPr>
  </w:style>
  <w:style w:type="character" w:customStyle="1" w:styleId="48">
    <w:name w:val="ZGSM"/>
    <w:qFormat/>
    <w:uiPriority w:val="0"/>
  </w:style>
  <w:style w:type="character" w:customStyle="1" w:styleId="49">
    <w:name w:val="日期 字符"/>
    <w:link w:val="13"/>
    <w:semiHidden/>
    <w:qFormat/>
    <w:uiPriority w:val="99"/>
    <w:rPr>
      <w:rFonts w:ascii="Times New Roman" w:hAnsi="Times New Roman" w:eastAsia="Times New Roman"/>
      <w:szCs w:val="24"/>
      <w:lang w:eastAsia="en-US"/>
    </w:rPr>
  </w:style>
  <w:style w:type="paragraph" w:customStyle="1" w:styleId="50">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1">
    <w:name w:val="TAL Char"/>
    <w:link w:val="38"/>
    <w:qFormat/>
    <w:uiPriority w:val="0"/>
    <w:rPr>
      <w:rFonts w:ascii="Arial" w:hAnsi="Arial"/>
      <w:sz w:val="18"/>
      <w:lang w:val="en-GB" w:eastAsia="en-US"/>
    </w:rPr>
  </w:style>
  <w:style w:type="character" w:customStyle="1" w:styleId="52">
    <w:name w:val="标题 3 字符"/>
    <w:link w:val="4"/>
    <w:qFormat/>
    <w:uiPriority w:val="9"/>
    <w:rPr>
      <w:rFonts w:ascii="Times New Roman" w:hAnsi="Times New Roman" w:eastAsia="Times New Roman"/>
      <w:b/>
      <w:bCs/>
      <w:sz w:val="32"/>
      <w:szCs w:val="32"/>
      <w:lang w:eastAsia="en-US"/>
    </w:rPr>
  </w:style>
  <w:style w:type="character" w:customStyle="1" w:styleId="53">
    <w:name w:val="TAL Car"/>
    <w:qFormat/>
    <w:uiPriority w:val="0"/>
    <w:rPr>
      <w:rFonts w:ascii="Arial" w:hAnsi="Arial" w:eastAsia="Times New Roman" w:cs="Times New Roman"/>
      <w:kern w:val="0"/>
      <w:sz w:val="18"/>
      <w:szCs w:val="20"/>
      <w:lang w:val="en-GB" w:eastAsia="ko-KR"/>
    </w:rPr>
  </w:style>
  <w:style w:type="paragraph" w:customStyle="1" w:styleId="54">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5">
    <w:name w:val="TAN"/>
    <w:basedOn w:val="38"/>
    <w:link w:val="65"/>
    <w:qFormat/>
    <w:uiPriority w:val="0"/>
    <w:pPr>
      <w:ind w:left="851" w:hanging="851"/>
    </w:pPr>
  </w:style>
  <w:style w:type="character" w:customStyle="1" w:styleId="56">
    <w:name w:val="normaltextrun"/>
    <w:basedOn w:val="20"/>
    <w:qFormat/>
    <w:uiPriority w:val="0"/>
  </w:style>
  <w:style w:type="character" w:customStyle="1" w:styleId="57">
    <w:name w:val="eop"/>
    <w:basedOn w:val="20"/>
    <w:qFormat/>
    <w:uiPriority w:val="0"/>
  </w:style>
  <w:style w:type="paragraph" w:customStyle="1" w:styleId="58">
    <w:name w:val="paragraph"/>
    <w:basedOn w:val="1"/>
    <w:qFormat/>
    <w:uiPriority w:val="0"/>
    <w:pPr>
      <w:spacing w:before="100" w:beforeAutospacing="1" w:after="100" w:afterAutospacing="1"/>
    </w:pPr>
    <w:rPr>
      <w:sz w:val="24"/>
    </w:rPr>
  </w:style>
  <w:style w:type="paragraph" w:customStyle="1" w:styleId="59">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character" w:customStyle="1" w:styleId="60">
    <w:name w:val="15"/>
    <w:basedOn w:val="20"/>
    <w:qFormat/>
    <w:uiPriority w:val="0"/>
    <w:rPr>
      <w:rFonts w:hint="default" w:ascii="Times New Roman" w:hAnsi="Times New Roman" w:cs="Times New Roman"/>
    </w:rPr>
  </w:style>
  <w:style w:type="paragraph" w:customStyle="1" w:styleId="61">
    <w:name w:val="B2"/>
    <w:basedOn w:val="7"/>
    <w:link w:val="62"/>
    <w:qFormat/>
    <w:uiPriority w:val="0"/>
    <w:pPr>
      <w:spacing w:after="180"/>
      <w:ind w:left="851" w:hanging="284"/>
    </w:pPr>
    <w:rPr>
      <w:rFonts w:eastAsia="MS Mincho"/>
      <w:szCs w:val="20"/>
      <w:lang w:val="en-GB"/>
    </w:rPr>
  </w:style>
  <w:style w:type="character" w:customStyle="1" w:styleId="62">
    <w:name w:val="B2 Char"/>
    <w:link w:val="61"/>
    <w:qFormat/>
    <w:uiPriority w:val="0"/>
    <w:rPr>
      <w:rFonts w:eastAsia="MS Mincho"/>
      <w:lang w:val="en-GB" w:eastAsia="en-US"/>
    </w:rPr>
  </w:style>
  <w:style w:type="character" w:customStyle="1" w:styleId="63">
    <w:name w:val="批注文字 字符"/>
    <w:link w:val="11"/>
    <w:qFormat/>
    <w:uiPriority w:val="0"/>
    <w:rPr>
      <w:rFonts w:eastAsia="Times New Roman"/>
      <w:szCs w:val="24"/>
      <w:lang w:eastAsia="en-US"/>
    </w:rPr>
  </w:style>
  <w:style w:type="table" w:customStyle="1" w:styleId="64">
    <w:name w:val="Table Grid1"/>
    <w:basedOn w:val="18"/>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5">
    <w:name w:val="TAN Char"/>
    <w:link w:val="55"/>
    <w:qFormat/>
    <w:locked/>
    <w:uiPriority w:val="0"/>
    <w:rPr>
      <w:rFonts w:ascii="Arial" w:hAnsi="Arial"/>
      <w:sz w:val="18"/>
      <w:lang w:val="en-GB" w:eastAsia="en-US"/>
    </w:rPr>
  </w:style>
  <w:style w:type="paragraph" w:customStyle="1" w:styleId="66">
    <w:name w:val="CR Cover Page"/>
    <w:link w:val="67"/>
    <w:qFormat/>
    <w:uiPriority w:val="0"/>
    <w:pPr>
      <w:spacing w:after="120"/>
    </w:pPr>
    <w:rPr>
      <w:rFonts w:ascii="Arial" w:hAnsi="Arial" w:eastAsia="Times New Roman" w:cs="Times New Roman"/>
      <w:lang w:val="en-GB" w:eastAsia="en-US" w:bidi="ar-SA"/>
    </w:rPr>
  </w:style>
  <w:style w:type="character" w:customStyle="1" w:styleId="67">
    <w:name w:val="CR Cover Page Char"/>
    <w:link w:val="66"/>
    <w:qFormat/>
    <w:uiPriority w:val="0"/>
    <w:rPr>
      <w:rFonts w:ascii="Arial" w:hAnsi="Arial" w:eastAsia="Times New Roman"/>
      <w:lang w:val="en-GB" w:eastAsia="en-US"/>
    </w:rPr>
  </w:style>
  <w:style w:type="paragraph" w:customStyle="1" w:styleId="68">
    <w:name w:val="Zchn Zchn"/>
    <w:semiHidden/>
    <w:qFormat/>
    <w:uiPriority w:val="99"/>
    <w:pPr>
      <w:keepNext/>
      <w:numPr>
        <w:ilvl w:val="0"/>
        <w:numId w:val="3"/>
      </w:numPr>
      <w:tabs>
        <w:tab w:val="left" w:pos="360"/>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styleId="69">
    <w:name w:val="Placeholder Text"/>
    <w:basedOn w:val="20"/>
    <w:semiHidden/>
    <w:qFormat/>
    <w:uiPriority w:val="99"/>
    <w:rPr>
      <w:color w:val="808080"/>
    </w:rPr>
  </w:style>
  <w:style w:type="character" w:customStyle="1" w:styleId="70">
    <w:name w:val="列出段落 字符1"/>
    <w:qFormat/>
    <w:locked/>
    <w:uiPriority w:val="34"/>
    <w:rPr>
      <w:rFonts w:eastAsia="Calibri"/>
      <w:szCs w:val="22"/>
      <w:lang w:val="en-GB" w:eastAsia="en-US"/>
    </w:rPr>
  </w:style>
  <w:style w:type="character" w:customStyle="1" w:styleId="71">
    <w:name w:val="标题 4 字符"/>
    <w:basedOn w:val="20"/>
    <w:link w:val="5"/>
    <w:qFormat/>
    <w:uiPriority w:val="9"/>
    <w:rPr>
      <w:rFonts w:asciiTheme="majorHAnsi" w:hAnsiTheme="majorHAnsi" w:eastAsiaTheme="majorEastAsia" w:cstheme="majorBidi"/>
      <w:b/>
      <w:bCs/>
      <w:sz w:val="28"/>
      <w:szCs w:val="28"/>
      <w:lang w:eastAsia="en-US"/>
    </w:rPr>
  </w:style>
  <w:style w:type="paragraph" w:customStyle="1" w:styleId="72">
    <w:name w:val="Doc-text2"/>
    <w:basedOn w:val="1"/>
    <w:qFormat/>
    <w:uiPriority w:val="0"/>
    <w:pPr>
      <w:tabs>
        <w:tab w:val="left" w:pos="1622"/>
      </w:tabs>
      <w:ind w:left="1622" w:hanging="363"/>
    </w:pPr>
    <w:rPr>
      <w:rFonts w:eastAsiaTheme="minorHAnsi"/>
      <w:lang w:eastAsia="en-US"/>
    </w:rPr>
  </w:style>
  <w:style w:type="paragraph" w:customStyle="1" w:styleId="73">
    <w:name w:val="B3"/>
    <w:basedOn w:val="6"/>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BF3B32-240D-4B49-8C4D-24726EDC872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2986</Words>
  <Characters>17023</Characters>
  <Lines>141</Lines>
  <Paragraphs>39</Paragraphs>
  <TotalTime>1</TotalTime>
  <ScaleCrop>false</ScaleCrop>
  <LinksUpToDate>false</LinksUpToDate>
  <CharactersWithSpaces>19970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 Derrick meeting-pre</cp:lastModifiedBy>
  <cp:lastPrinted>2015-02-02T11:17:00Z</cp:lastPrinted>
  <dcterms:modified xsi:type="dcterms:W3CDTF">2025-08-15T12:11:50Z</dcterms:modified>
  <cp:revision>662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E8303FA37CAD45C39F0692DF92A1D3AD</vt:lpwstr>
  </property>
</Properties>
</file>